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val="0"/>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p>
    <w:p>
      <w:pPr>
        <w:widowControl w:val="0"/>
        <w:wordWrap/>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2023年度广东绿色金融改革创新案例</w:t>
      </w:r>
    </w:p>
    <w:p>
      <w:pPr>
        <w:widowControl w:val="0"/>
        <w:wordWrap/>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推荐表</w:t>
      </w:r>
    </w:p>
    <w:tbl>
      <w:tblPr>
        <w:tblStyle w:val="5"/>
        <w:tblpPr w:leftFromText="180" w:rightFromText="180" w:vertAnchor="text" w:horzAnchor="page" w:tblpX="1549" w:tblpY="55"/>
        <w:tblOverlap w:val="never"/>
        <w:tblW w:w="90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22"/>
        <w:gridCol w:w="1383"/>
        <w:gridCol w:w="2191"/>
        <w:gridCol w:w="1415"/>
        <w:gridCol w:w="100"/>
        <w:gridCol w:w="2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1" w:hRule="atLeast"/>
        </w:trPr>
        <w:tc>
          <w:tcPr>
            <w:tcW w:w="1922"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spacing w:line="360" w:lineRule="auto"/>
              <w:jc w:val="both"/>
              <w:rPr>
                <w:rFonts w:ascii="宋体" w:hAnsi="宋体" w:cs="宋体"/>
                <w:kern w:val="0"/>
                <w:sz w:val="24"/>
                <w:highlight w:val="none"/>
              </w:rPr>
            </w:pPr>
            <w:r>
              <w:rPr>
                <w:rFonts w:hint="eastAsia" w:ascii="宋体" w:hAnsi="宋体" w:cs="宋体"/>
                <w:kern w:val="0"/>
                <w:sz w:val="24"/>
                <w:highlight w:val="none"/>
                <w:lang w:val="en-US" w:eastAsia="zh-CN"/>
              </w:rPr>
              <w:t>案例</w:t>
            </w:r>
            <w:r>
              <w:rPr>
                <w:rFonts w:hint="eastAsia" w:ascii="宋体" w:hAnsi="宋体" w:cs="宋体"/>
                <w:kern w:val="0"/>
                <w:sz w:val="24"/>
                <w:highlight w:val="none"/>
              </w:rPr>
              <w:t>名称</w:t>
            </w:r>
          </w:p>
        </w:tc>
        <w:tc>
          <w:tcPr>
            <w:tcW w:w="7141" w:type="dxa"/>
            <w:gridSpan w:val="5"/>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top"/>
          </w:tcPr>
          <w:p>
            <w:pPr>
              <w:widowControl/>
              <w:wordWrap w:val="0"/>
              <w:spacing w:line="360" w:lineRule="auto"/>
              <w:rPr>
                <w:rFonts w:ascii="宋体" w:hAnsi="宋体" w:cs="宋体"/>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41" w:hRule="atLeast"/>
        </w:trPr>
        <w:tc>
          <w:tcPr>
            <w:tcW w:w="9063" w:type="dxa"/>
            <w:gridSpan w:val="6"/>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lang w:eastAsia="zh-CN"/>
              </w:rPr>
              <w:t>推荐</w:t>
            </w:r>
            <w:r>
              <w:rPr>
                <w:rFonts w:hint="eastAsia" w:ascii="宋体" w:hAnsi="宋体" w:cs="宋体"/>
                <w:b/>
                <w:bCs/>
                <w:kern w:val="0"/>
                <w:sz w:val="24"/>
                <w:highlight w:val="none"/>
              </w:rPr>
              <w:t>单位信息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41" w:hRule="atLeast"/>
        </w:trPr>
        <w:tc>
          <w:tcPr>
            <w:tcW w:w="1922" w:type="dxa"/>
            <w:vMerge w:val="restart"/>
            <w:tcBorders>
              <w:top w:val="single" w:color="auto" w:sz="4" w:space="0"/>
              <w:left w:val="single" w:color="auto" w:sz="4" w:space="0"/>
              <w:right w:val="single" w:color="auto" w:sz="4" w:space="0"/>
            </w:tcBorders>
            <w:shd w:val="clear" w:color="auto" w:fill="FFFFFF"/>
            <w:tcMar>
              <w:top w:w="0" w:type="dxa"/>
              <w:left w:w="70" w:type="dxa"/>
              <w:bottom w:w="0" w:type="dxa"/>
              <w:right w:w="70" w:type="dxa"/>
            </w:tcMar>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主</w:t>
            </w:r>
            <w:r>
              <w:rPr>
                <w:rFonts w:hint="eastAsia" w:ascii="宋体" w:hAnsi="宋体" w:cs="宋体"/>
                <w:kern w:val="0"/>
                <w:sz w:val="24"/>
                <w:highlight w:val="none"/>
                <w:lang w:eastAsia="zh-CN"/>
              </w:rPr>
              <w:t>推荐</w:t>
            </w:r>
            <w:r>
              <w:rPr>
                <w:rFonts w:hint="eastAsia" w:ascii="宋体" w:hAnsi="宋体" w:cs="宋体"/>
                <w:kern w:val="0"/>
                <w:sz w:val="24"/>
                <w:highlight w:val="none"/>
              </w:rPr>
              <w:t>单位</w:t>
            </w:r>
          </w:p>
        </w:tc>
        <w:tc>
          <w:tcPr>
            <w:tcW w:w="1383"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wordWrap w:val="0"/>
              <w:spacing w:line="320" w:lineRule="exact"/>
              <w:jc w:val="both"/>
              <w:rPr>
                <w:rFonts w:ascii="宋体" w:hAnsi="宋体" w:cs="宋体"/>
                <w:kern w:val="0"/>
                <w:sz w:val="24"/>
                <w:highlight w:val="none"/>
              </w:rPr>
            </w:pPr>
            <w:r>
              <w:rPr>
                <w:rFonts w:hint="eastAsia" w:ascii="宋体" w:hAnsi="宋体" w:cs="宋体"/>
                <w:kern w:val="0"/>
                <w:sz w:val="24"/>
                <w:highlight w:val="none"/>
              </w:rPr>
              <w:t>单位名称</w:t>
            </w:r>
          </w:p>
        </w:tc>
        <w:tc>
          <w:tcPr>
            <w:tcW w:w="5758" w:type="dxa"/>
            <w:gridSpan w:val="4"/>
            <w:tcBorders>
              <w:top w:val="single" w:color="auto" w:sz="4" w:space="0"/>
              <w:left w:val="nil"/>
              <w:bottom w:val="single" w:color="auto" w:sz="4" w:space="0"/>
              <w:right w:val="single" w:color="auto" w:sz="4" w:space="0"/>
            </w:tcBorders>
            <w:shd w:val="clear" w:color="auto" w:fill="FFFFFF"/>
            <w:vAlign w:val="center"/>
          </w:tcPr>
          <w:p>
            <w:pPr>
              <w:widowControl/>
              <w:wordWrap w:val="0"/>
              <w:spacing w:line="360" w:lineRule="auto"/>
              <w:jc w:val="both"/>
              <w:rPr>
                <w:rFonts w:ascii="宋体" w:hAnsi="宋体" w:cs="宋体"/>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41" w:hRule="atLeast"/>
        </w:trPr>
        <w:tc>
          <w:tcPr>
            <w:tcW w:w="1922" w:type="dxa"/>
            <w:vMerge w:val="continue"/>
            <w:tcBorders>
              <w:left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ascii="宋体" w:hAnsi="宋体" w:cs="宋体"/>
                <w:kern w:val="0"/>
                <w:sz w:val="24"/>
                <w:highlight w:val="none"/>
              </w:rPr>
            </w:pPr>
          </w:p>
        </w:tc>
        <w:tc>
          <w:tcPr>
            <w:tcW w:w="1383"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wordWrap w:val="0"/>
              <w:spacing w:line="320" w:lineRule="exact"/>
              <w:jc w:val="both"/>
              <w:rPr>
                <w:rFonts w:ascii="宋体" w:hAnsi="宋体" w:cs="宋体"/>
                <w:kern w:val="0"/>
                <w:sz w:val="24"/>
                <w:highlight w:val="none"/>
              </w:rPr>
            </w:pPr>
            <w:r>
              <w:rPr>
                <w:rFonts w:hint="eastAsia" w:ascii="宋体" w:hAnsi="宋体" w:cs="宋体"/>
                <w:kern w:val="0"/>
                <w:sz w:val="24"/>
                <w:highlight w:val="none"/>
              </w:rPr>
              <w:t>联系人姓名</w:t>
            </w:r>
          </w:p>
        </w:tc>
        <w:tc>
          <w:tcPr>
            <w:tcW w:w="2191" w:type="dxa"/>
            <w:tcBorders>
              <w:top w:val="single" w:color="auto" w:sz="4" w:space="0"/>
              <w:left w:val="nil"/>
              <w:bottom w:val="single" w:color="auto" w:sz="4" w:space="0"/>
              <w:right w:val="single" w:color="auto" w:sz="4" w:space="0"/>
            </w:tcBorders>
            <w:shd w:val="clear" w:color="auto" w:fill="FFFFFF"/>
            <w:vAlign w:val="center"/>
          </w:tcPr>
          <w:p>
            <w:pPr>
              <w:widowControl/>
              <w:wordWrap w:val="0"/>
              <w:spacing w:line="360" w:lineRule="auto"/>
              <w:jc w:val="both"/>
              <w:rPr>
                <w:rFonts w:ascii="宋体" w:hAnsi="宋体" w:cs="宋体"/>
                <w:kern w:val="0"/>
                <w:sz w:val="24"/>
                <w:highlight w:val="none"/>
              </w:rPr>
            </w:pPr>
          </w:p>
        </w:tc>
        <w:tc>
          <w:tcPr>
            <w:tcW w:w="1415" w:type="dxa"/>
            <w:tcBorders>
              <w:top w:val="single" w:color="auto" w:sz="4" w:space="0"/>
              <w:left w:val="nil"/>
              <w:bottom w:val="single" w:color="auto" w:sz="4" w:space="0"/>
              <w:right w:val="single" w:color="auto" w:sz="4" w:space="0"/>
            </w:tcBorders>
            <w:shd w:val="clear" w:color="auto" w:fill="FFFFFF"/>
            <w:vAlign w:val="center"/>
          </w:tcPr>
          <w:p>
            <w:pPr>
              <w:widowControl/>
              <w:wordWrap w:val="0"/>
              <w:spacing w:line="360" w:lineRule="auto"/>
              <w:jc w:val="both"/>
              <w:rPr>
                <w:rFonts w:ascii="宋体" w:hAnsi="宋体" w:cs="宋体"/>
                <w:kern w:val="0"/>
                <w:sz w:val="24"/>
                <w:highlight w:val="none"/>
              </w:rPr>
            </w:pPr>
            <w:r>
              <w:rPr>
                <w:rFonts w:hint="eastAsia" w:ascii="宋体" w:hAnsi="宋体" w:cs="宋体"/>
                <w:kern w:val="0"/>
                <w:sz w:val="24"/>
                <w:highlight w:val="none"/>
              </w:rPr>
              <w:t>部门和职务</w:t>
            </w:r>
          </w:p>
        </w:tc>
        <w:tc>
          <w:tcPr>
            <w:tcW w:w="2152" w:type="dxa"/>
            <w:gridSpan w:val="2"/>
            <w:tcBorders>
              <w:top w:val="single" w:color="auto" w:sz="4" w:space="0"/>
              <w:left w:val="nil"/>
              <w:bottom w:val="single" w:color="auto" w:sz="4" w:space="0"/>
              <w:right w:val="single" w:color="auto" w:sz="4" w:space="0"/>
            </w:tcBorders>
            <w:shd w:val="clear" w:color="auto" w:fill="FFFFFF"/>
            <w:vAlign w:val="center"/>
          </w:tcPr>
          <w:p>
            <w:pPr>
              <w:widowControl/>
              <w:wordWrap w:val="0"/>
              <w:spacing w:line="360" w:lineRule="auto"/>
              <w:jc w:val="both"/>
              <w:rPr>
                <w:rFonts w:ascii="宋体" w:hAnsi="宋体" w:cs="宋体"/>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41" w:hRule="atLeast"/>
        </w:trPr>
        <w:tc>
          <w:tcPr>
            <w:tcW w:w="1922" w:type="dxa"/>
            <w:vMerge w:val="continue"/>
            <w:tcBorders>
              <w:left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ascii="宋体" w:hAnsi="宋体" w:cs="宋体"/>
                <w:kern w:val="0"/>
                <w:sz w:val="24"/>
                <w:highlight w:val="none"/>
              </w:rPr>
            </w:pPr>
          </w:p>
        </w:tc>
        <w:tc>
          <w:tcPr>
            <w:tcW w:w="1383"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wordWrap w:val="0"/>
              <w:spacing w:line="320" w:lineRule="exact"/>
              <w:jc w:val="both"/>
              <w:rPr>
                <w:rFonts w:hint="eastAsia" w:ascii="宋体" w:hAnsi="宋体" w:cs="宋体"/>
                <w:kern w:val="0"/>
                <w:sz w:val="24"/>
                <w:highlight w:val="none"/>
              </w:rPr>
            </w:pPr>
            <w:r>
              <w:rPr>
                <w:rFonts w:hint="eastAsia" w:ascii="宋体" w:hAnsi="宋体" w:cs="宋体"/>
                <w:kern w:val="0"/>
                <w:sz w:val="24"/>
                <w:highlight w:val="none"/>
                <w:lang w:val="en-US" w:eastAsia="zh-CN"/>
              </w:rPr>
              <w:t>固定</w:t>
            </w:r>
            <w:r>
              <w:rPr>
                <w:rFonts w:hint="eastAsia" w:ascii="宋体" w:hAnsi="宋体" w:cs="宋体"/>
                <w:kern w:val="0"/>
                <w:sz w:val="24"/>
                <w:highlight w:val="none"/>
              </w:rPr>
              <w:t>电话</w:t>
            </w:r>
          </w:p>
        </w:tc>
        <w:tc>
          <w:tcPr>
            <w:tcW w:w="2191" w:type="dxa"/>
            <w:tcBorders>
              <w:top w:val="single" w:color="auto" w:sz="4" w:space="0"/>
              <w:left w:val="nil"/>
              <w:bottom w:val="single" w:color="auto" w:sz="4" w:space="0"/>
              <w:right w:val="single" w:color="auto" w:sz="4" w:space="0"/>
            </w:tcBorders>
            <w:shd w:val="clear" w:color="auto" w:fill="FFFFFF"/>
            <w:vAlign w:val="center"/>
          </w:tcPr>
          <w:p>
            <w:pPr>
              <w:widowControl/>
              <w:wordWrap w:val="0"/>
              <w:spacing w:line="360" w:lineRule="auto"/>
              <w:jc w:val="both"/>
              <w:rPr>
                <w:rFonts w:ascii="宋体" w:hAnsi="宋体" w:cs="宋体"/>
                <w:kern w:val="0"/>
                <w:sz w:val="24"/>
                <w:highlight w:val="none"/>
              </w:rPr>
            </w:pPr>
          </w:p>
        </w:tc>
        <w:tc>
          <w:tcPr>
            <w:tcW w:w="1415" w:type="dxa"/>
            <w:tcBorders>
              <w:top w:val="single" w:color="auto" w:sz="4" w:space="0"/>
              <w:left w:val="nil"/>
              <w:bottom w:val="single" w:color="auto" w:sz="4" w:space="0"/>
              <w:right w:val="single" w:color="auto" w:sz="4" w:space="0"/>
            </w:tcBorders>
            <w:shd w:val="clear" w:color="auto" w:fill="FFFFFF"/>
            <w:vAlign w:val="center"/>
          </w:tcPr>
          <w:p>
            <w:pPr>
              <w:widowControl/>
              <w:wordWrap w:val="0"/>
              <w:spacing w:line="360" w:lineRule="auto"/>
              <w:jc w:val="both"/>
              <w:rPr>
                <w:rFonts w:hint="eastAsia" w:ascii="宋体" w:hAnsi="宋体" w:cs="宋体"/>
                <w:kern w:val="0"/>
                <w:sz w:val="24"/>
                <w:highlight w:val="none"/>
              </w:rPr>
            </w:pPr>
            <w:r>
              <w:rPr>
                <w:rFonts w:hint="eastAsia" w:ascii="宋体" w:hAnsi="宋体" w:cs="宋体"/>
                <w:kern w:val="0"/>
                <w:sz w:val="24"/>
                <w:highlight w:val="none"/>
                <w:lang w:val="en-US" w:eastAsia="zh-CN"/>
              </w:rPr>
              <w:t>电子</w:t>
            </w:r>
            <w:r>
              <w:rPr>
                <w:rFonts w:hint="eastAsia" w:ascii="宋体" w:hAnsi="宋体" w:cs="宋体"/>
                <w:kern w:val="0"/>
                <w:sz w:val="24"/>
                <w:highlight w:val="none"/>
              </w:rPr>
              <w:t>邮箱</w:t>
            </w:r>
          </w:p>
        </w:tc>
        <w:tc>
          <w:tcPr>
            <w:tcW w:w="2152" w:type="dxa"/>
            <w:gridSpan w:val="2"/>
            <w:tcBorders>
              <w:top w:val="single" w:color="auto" w:sz="4" w:space="0"/>
              <w:left w:val="nil"/>
              <w:bottom w:val="single" w:color="auto" w:sz="4" w:space="0"/>
              <w:right w:val="single" w:color="auto" w:sz="4" w:space="0"/>
            </w:tcBorders>
            <w:shd w:val="clear" w:color="auto" w:fill="FFFFFF"/>
            <w:vAlign w:val="center"/>
          </w:tcPr>
          <w:p>
            <w:pPr>
              <w:widowControl/>
              <w:wordWrap w:val="0"/>
              <w:spacing w:line="360" w:lineRule="auto"/>
              <w:jc w:val="both"/>
              <w:rPr>
                <w:rFonts w:ascii="宋体" w:hAnsi="宋体" w:cs="宋体"/>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41" w:hRule="atLeast"/>
        </w:trPr>
        <w:tc>
          <w:tcPr>
            <w:tcW w:w="1922" w:type="dxa"/>
            <w:vMerge w:val="continue"/>
            <w:tcBorders>
              <w:left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ascii="宋体" w:hAnsi="宋体" w:cs="宋体"/>
                <w:kern w:val="0"/>
                <w:sz w:val="24"/>
                <w:highlight w:val="none"/>
              </w:rPr>
            </w:pPr>
          </w:p>
        </w:tc>
        <w:tc>
          <w:tcPr>
            <w:tcW w:w="1383"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ordWrap w:val="0"/>
              <w:spacing w:line="320" w:lineRule="exact"/>
              <w:jc w:val="both"/>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手机号码</w:t>
            </w:r>
          </w:p>
        </w:tc>
        <w:tc>
          <w:tcPr>
            <w:tcW w:w="2191" w:type="dxa"/>
            <w:tcBorders>
              <w:top w:val="single" w:color="auto" w:sz="4" w:space="0"/>
              <w:left w:val="nil"/>
              <w:bottom w:val="single" w:color="auto" w:sz="4" w:space="0"/>
              <w:right w:val="single" w:color="auto" w:sz="4" w:space="0"/>
            </w:tcBorders>
            <w:shd w:val="clear" w:color="auto" w:fill="FFFFFF"/>
            <w:vAlign w:val="center"/>
          </w:tcPr>
          <w:p>
            <w:pPr>
              <w:widowControl/>
              <w:wordWrap w:val="0"/>
              <w:spacing w:line="360" w:lineRule="auto"/>
              <w:jc w:val="both"/>
              <w:rPr>
                <w:rFonts w:ascii="宋体" w:hAnsi="宋体" w:cs="宋体"/>
                <w:kern w:val="0"/>
                <w:sz w:val="24"/>
                <w:highlight w:val="none"/>
              </w:rPr>
            </w:pPr>
          </w:p>
        </w:tc>
        <w:tc>
          <w:tcPr>
            <w:tcW w:w="1415" w:type="dxa"/>
            <w:tcBorders>
              <w:top w:val="single" w:color="auto" w:sz="4" w:space="0"/>
              <w:left w:val="nil"/>
              <w:bottom w:val="single" w:color="auto" w:sz="4" w:space="0"/>
              <w:right w:val="single" w:color="auto" w:sz="4" w:space="0"/>
            </w:tcBorders>
            <w:shd w:val="clear" w:color="auto" w:fill="FFFFFF"/>
            <w:vAlign w:val="center"/>
          </w:tcPr>
          <w:p>
            <w:pPr>
              <w:widowControl/>
              <w:wordWrap w:val="0"/>
              <w:spacing w:line="360" w:lineRule="auto"/>
              <w:jc w:val="both"/>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微信号</w:t>
            </w:r>
          </w:p>
        </w:tc>
        <w:tc>
          <w:tcPr>
            <w:tcW w:w="2152" w:type="dxa"/>
            <w:gridSpan w:val="2"/>
            <w:tcBorders>
              <w:top w:val="single" w:color="auto" w:sz="4" w:space="0"/>
              <w:left w:val="nil"/>
              <w:bottom w:val="single" w:color="auto" w:sz="4" w:space="0"/>
              <w:right w:val="single" w:color="auto" w:sz="4" w:space="0"/>
            </w:tcBorders>
            <w:shd w:val="clear" w:color="auto" w:fill="FFFFFF"/>
            <w:vAlign w:val="center"/>
          </w:tcPr>
          <w:p>
            <w:pPr>
              <w:widowControl/>
              <w:wordWrap w:val="0"/>
              <w:spacing w:line="360" w:lineRule="auto"/>
              <w:jc w:val="both"/>
              <w:rPr>
                <w:rFonts w:ascii="宋体" w:hAnsi="宋体" w:cs="宋体"/>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41" w:hRule="atLeast"/>
        </w:trPr>
        <w:tc>
          <w:tcPr>
            <w:tcW w:w="1922" w:type="dxa"/>
            <w:vMerge w:val="continue"/>
            <w:tcBorders>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ascii="宋体" w:hAnsi="宋体" w:cs="宋体"/>
                <w:kern w:val="0"/>
                <w:sz w:val="24"/>
                <w:highlight w:val="none"/>
              </w:rPr>
            </w:pPr>
          </w:p>
        </w:tc>
        <w:tc>
          <w:tcPr>
            <w:tcW w:w="1383"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ordWrap w:val="0"/>
              <w:spacing w:line="320" w:lineRule="exact"/>
              <w:jc w:val="both"/>
              <w:rPr>
                <w:rFonts w:hint="eastAsia" w:ascii="宋体" w:hAnsi="宋体" w:cs="宋体"/>
                <w:kern w:val="0"/>
                <w:sz w:val="24"/>
                <w:highlight w:val="none"/>
              </w:rPr>
            </w:pPr>
            <w:r>
              <w:rPr>
                <w:rFonts w:hint="eastAsia" w:ascii="宋体" w:hAnsi="宋体" w:cs="宋体"/>
                <w:kern w:val="0"/>
                <w:sz w:val="24"/>
                <w:highlight w:val="none"/>
              </w:rPr>
              <w:t>通讯地址</w:t>
            </w:r>
          </w:p>
        </w:tc>
        <w:tc>
          <w:tcPr>
            <w:tcW w:w="5758" w:type="dxa"/>
            <w:gridSpan w:val="4"/>
            <w:tcBorders>
              <w:top w:val="single" w:color="auto" w:sz="4" w:space="0"/>
              <w:left w:val="nil"/>
              <w:bottom w:val="single" w:color="auto" w:sz="4" w:space="0"/>
              <w:right w:val="single" w:color="auto" w:sz="4" w:space="0"/>
            </w:tcBorders>
            <w:shd w:val="clear" w:color="auto" w:fill="FFFFFF"/>
            <w:vAlign w:val="center"/>
          </w:tcPr>
          <w:p>
            <w:pPr>
              <w:widowControl/>
              <w:wordWrap w:val="0"/>
              <w:spacing w:line="360" w:lineRule="auto"/>
              <w:jc w:val="both"/>
              <w:rPr>
                <w:rFonts w:ascii="宋体" w:hAnsi="宋体" w:cs="宋体"/>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41" w:hRule="atLeast"/>
        </w:trPr>
        <w:tc>
          <w:tcPr>
            <w:tcW w:w="1922" w:type="dxa"/>
            <w:vMerge w:val="restart"/>
            <w:tcBorders>
              <w:top w:val="single" w:color="auto" w:sz="4" w:space="0"/>
              <w:left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联合</w:t>
            </w:r>
            <w:r>
              <w:rPr>
                <w:rFonts w:hint="eastAsia" w:ascii="宋体" w:hAnsi="宋体" w:cs="宋体"/>
                <w:kern w:val="0"/>
                <w:sz w:val="24"/>
                <w:highlight w:val="none"/>
                <w:lang w:eastAsia="zh-CN"/>
              </w:rPr>
              <w:t>推荐</w:t>
            </w:r>
            <w:r>
              <w:rPr>
                <w:rFonts w:hint="eastAsia" w:ascii="宋体" w:hAnsi="宋体" w:cs="宋体"/>
                <w:kern w:val="0"/>
                <w:sz w:val="24"/>
                <w:highlight w:val="none"/>
              </w:rPr>
              <w:t>单位</w:t>
            </w:r>
          </w:p>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（无联合</w:t>
            </w:r>
            <w:r>
              <w:rPr>
                <w:rFonts w:hint="eastAsia" w:ascii="宋体" w:hAnsi="宋体" w:cs="宋体"/>
                <w:kern w:val="0"/>
                <w:sz w:val="24"/>
                <w:highlight w:val="none"/>
                <w:lang w:eastAsia="zh-CN"/>
              </w:rPr>
              <w:t>推荐</w:t>
            </w:r>
            <w:r>
              <w:rPr>
                <w:rFonts w:hint="eastAsia" w:ascii="宋体" w:hAnsi="宋体" w:cs="宋体"/>
                <w:kern w:val="0"/>
                <w:sz w:val="24"/>
                <w:highlight w:val="none"/>
              </w:rPr>
              <w:t>单位的可</w:t>
            </w:r>
            <w:r>
              <w:rPr>
                <w:rFonts w:hint="eastAsia" w:ascii="宋体" w:hAnsi="宋体" w:cs="宋体"/>
                <w:kern w:val="0"/>
                <w:sz w:val="24"/>
                <w:highlight w:val="none"/>
                <w:lang w:val="en-US" w:eastAsia="zh-CN"/>
              </w:rPr>
              <w:t>留空</w:t>
            </w:r>
            <w:r>
              <w:rPr>
                <w:rFonts w:hint="eastAsia" w:ascii="宋体" w:hAnsi="宋体" w:cs="宋体"/>
                <w:kern w:val="0"/>
                <w:sz w:val="24"/>
                <w:highlight w:val="none"/>
              </w:rPr>
              <w:t>）</w:t>
            </w:r>
          </w:p>
        </w:tc>
        <w:tc>
          <w:tcPr>
            <w:tcW w:w="1383"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wordWrap w:val="0"/>
              <w:spacing w:line="320" w:lineRule="exact"/>
              <w:jc w:val="both"/>
              <w:rPr>
                <w:rFonts w:ascii="宋体" w:hAnsi="宋体" w:cs="宋体"/>
                <w:kern w:val="0"/>
                <w:sz w:val="24"/>
                <w:highlight w:val="none"/>
              </w:rPr>
            </w:pPr>
            <w:r>
              <w:rPr>
                <w:rFonts w:hint="eastAsia" w:ascii="宋体" w:hAnsi="宋体" w:cs="宋体"/>
                <w:kern w:val="0"/>
                <w:sz w:val="24"/>
                <w:highlight w:val="none"/>
              </w:rPr>
              <w:t>单位名称</w:t>
            </w:r>
          </w:p>
        </w:tc>
        <w:tc>
          <w:tcPr>
            <w:tcW w:w="5758" w:type="dxa"/>
            <w:gridSpan w:val="4"/>
            <w:tcBorders>
              <w:top w:val="single" w:color="auto" w:sz="4" w:space="0"/>
              <w:left w:val="nil"/>
              <w:bottom w:val="single" w:color="auto" w:sz="4" w:space="0"/>
              <w:right w:val="single" w:color="auto" w:sz="4" w:space="0"/>
            </w:tcBorders>
            <w:shd w:val="clear" w:color="auto" w:fill="FFFFFF"/>
            <w:vAlign w:val="center"/>
          </w:tcPr>
          <w:p>
            <w:pPr>
              <w:widowControl/>
              <w:wordWrap w:val="0"/>
              <w:spacing w:line="360" w:lineRule="auto"/>
              <w:jc w:val="both"/>
              <w:rPr>
                <w:rFonts w:ascii="宋体" w:hAnsi="宋体" w:cs="宋体"/>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41" w:hRule="atLeast"/>
        </w:trPr>
        <w:tc>
          <w:tcPr>
            <w:tcW w:w="1922" w:type="dxa"/>
            <w:vMerge w:val="continue"/>
            <w:tcBorders>
              <w:left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both"/>
              <w:rPr>
                <w:rFonts w:ascii="宋体" w:hAnsi="宋体" w:cs="宋体"/>
                <w:kern w:val="0"/>
                <w:sz w:val="24"/>
                <w:highlight w:val="none"/>
              </w:rPr>
            </w:pPr>
          </w:p>
        </w:tc>
        <w:tc>
          <w:tcPr>
            <w:tcW w:w="1383"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wordWrap w:val="0"/>
              <w:spacing w:line="320" w:lineRule="exact"/>
              <w:jc w:val="both"/>
              <w:rPr>
                <w:rFonts w:ascii="宋体" w:hAnsi="宋体" w:cs="宋体"/>
                <w:kern w:val="0"/>
                <w:sz w:val="24"/>
                <w:highlight w:val="none"/>
              </w:rPr>
            </w:pPr>
            <w:r>
              <w:rPr>
                <w:rFonts w:hint="eastAsia" w:ascii="宋体" w:hAnsi="宋体" w:cs="宋体"/>
                <w:kern w:val="0"/>
                <w:sz w:val="24"/>
                <w:highlight w:val="none"/>
              </w:rPr>
              <w:t>联系人姓名</w:t>
            </w:r>
          </w:p>
        </w:tc>
        <w:tc>
          <w:tcPr>
            <w:tcW w:w="2191" w:type="dxa"/>
            <w:tcBorders>
              <w:top w:val="single" w:color="auto" w:sz="4" w:space="0"/>
              <w:left w:val="nil"/>
              <w:bottom w:val="single" w:color="auto" w:sz="4" w:space="0"/>
              <w:right w:val="single" w:color="auto" w:sz="4" w:space="0"/>
            </w:tcBorders>
            <w:shd w:val="clear" w:color="auto" w:fill="FFFFFF"/>
            <w:vAlign w:val="center"/>
          </w:tcPr>
          <w:p>
            <w:pPr>
              <w:widowControl/>
              <w:wordWrap w:val="0"/>
              <w:spacing w:line="360" w:lineRule="auto"/>
              <w:jc w:val="both"/>
              <w:rPr>
                <w:rFonts w:ascii="宋体" w:hAnsi="宋体" w:cs="宋体"/>
                <w:kern w:val="0"/>
                <w:sz w:val="24"/>
                <w:highlight w:val="none"/>
              </w:rPr>
            </w:pPr>
          </w:p>
        </w:tc>
        <w:tc>
          <w:tcPr>
            <w:tcW w:w="1515" w:type="dxa"/>
            <w:gridSpan w:val="2"/>
            <w:tcBorders>
              <w:top w:val="single" w:color="auto" w:sz="4" w:space="0"/>
              <w:left w:val="nil"/>
              <w:bottom w:val="single" w:color="auto" w:sz="4" w:space="0"/>
              <w:right w:val="single" w:color="auto" w:sz="4" w:space="0"/>
            </w:tcBorders>
            <w:shd w:val="clear" w:color="auto" w:fill="FFFFFF"/>
            <w:vAlign w:val="center"/>
          </w:tcPr>
          <w:p>
            <w:pPr>
              <w:widowControl/>
              <w:wordWrap w:val="0"/>
              <w:spacing w:line="360" w:lineRule="auto"/>
              <w:jc w:val="both"/>
              <w:rPr>
                <w:rFonts w:ascii="宋体" w:hAnsi="宋体" w:cs="宋体"/>
                <w:kern w:val="0"/>
                <w:sz w:val="24"/>
                <w:highlight w:val="none"/>
              </w:rPr>
            </w:pPr>
            <w:r>
              <w:rPr>
                <w:rFonts w:hint="eastAsia" w:ascii="宋体" w:hAnsi="宋体" w:cs="宋体"/>
                <w:kern w:val="0"/>
                <w:sz w:val="24"/>
                <w:highlight w:val="none"/>
              </w:rPr>
              <w:t>部门和职务</w:t>
            </w:r>
          </w:p>
        </w:tc>
        <w:tc>
          <w:tcPr>
            <w:tcW w:w="2052" w:type="dxa"/>
            <w:tcBorders>
              <w:top w:val="single" w:color="auto" w:sz="4" w:space="0"/>
              <w:left w:val="nil"/>
              <w:bottom w:val="single" w:color="auto" w:sz="4" w:space="0"/>
              <w:right w:val="single" w:color="auto" w:sz="4" w:space="0"/>
            </w:tcBorders>
            <w:shd w:val="clear" w:color="auto" w:fill="FFFFFF"/>
            <w:vAlign w:val="center"/>
          </w:tcPr>
          <w:p>
            <w:pPr>
              <w:widowControl/>
              <w:wordWrap w:val="0"/>
              <w:spacing w:line="360" w:lineRule="auto"/>
              <w:jc w:val="both"/>
              <w:rPr>
                <w:rFonts w:ascii="宋体" w:hAnsi="宋体" w:cs="宋体"/>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41" w:hRule="atLeast"/>
        </w:trPr>
        <w:tc>
          <w:tcPr>
            <w:tcW w:w="1922" w:type="dxa"/>
            <w:vMerge w:val="continue"/>
            <w:tcBorders>
              <w:left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both"/>
              <w:rPr>
                <w:rFonts w:ascii="宋体" w:hAnsi="宋体" w:cs="宋体"/>
                <w:kern w:val="0"/>
                <w:sz w:val="24"/>
                <w:highlight w:val="none"/>
              </w:rPr>
            </w:pPr>
          </w:p>
        </w:tc>
        <w:tc>
          <w:tcPr>
            <w:tcW w:w="1383"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wordWrap w:val="0"/>
              <w:spacing w:line="320" w:lineRule="exact"/>
              <w:jc w:val="both"/>
              <w:rPr>
                <w:rFonts w:hint="eastAsia" w:ascii="宋体" w:hAnsi="宋体" w:cs="宋体"/>
                <w:kern w:val="0"/>
                <w:sz w:val="24"/>
                <w:highlight w:val="none"/>
              </w:rPr>
            </w:pPr>
            <w:r>
              <w:rPr>
                <w:rFonts w:hint="eastAsia" w:ascii="宋体" w:hAnsi="宋体" w:cs="宋体"/>
                <w:kern w:val="0"/>
                <w:sz w:val="24"/>
                <w:highlight w:val="none"/>
                <w:lang w:val="en-US" w:eastAsia="zh-CN"/>
              </w:rPr>
              <w:t>固定</w:t>
            </w:r>
            <w:r>
              <w:rPr>
                <w:rFonts w:hint="eastAsia" w:ascii="宋体" w:hAnsi="宋体" w:cs="宋体"/>
                <w:kern w:val="0"/>
                <w:sz w:val="24"/>
                <w:highlight w:val="none"/>
              </w:rPr>
              <w:t>电话</w:t>
            </w:r>
          </w:p>
        </w:tc>
        <w:tc>
          <w:tcPr>
            <w:tcW w:w="2191" w:type="dxa"/>
            <w:tcBorders>
              <w:top w:val="single" w:color="auto" w:sz="4" w:space="0"/>
              <w:left w:val="nil"/>
              <w:bottom w:val="single" w:color="auto" w:sz="4" w:space="0"/>
              <w:right w:val="single" w:color="auto" w:sz="4" w:space="0"/>
            </w:tcBorders>
            <w:shd w:val="clear" w:color="auto" w:fill="FFFFFF"/>
            <w:vAlign w:val="center"/>
          </w:tcPr>
          <w:p>
            <w:pPr>
              <w:widowControl/>
              <w:wordWrap w:val="0"/>
              <w:spacing w:line="360" w:lineRule="auto"/>
              <w:jc w:val="both"/>
              <w:rPr>
                <w:rFonts w:ascii="宋体" w:hAnsi="宋体" w:cs="宋体"/>
                <w:kern w:val="0"/>
                <w:sz w:val="24"/>
                <w:highlight w:val="none"/>
              </w:rPr>
            </w:pPr>
          </w:p>
        </w:tc>
        <w:tc>
          <w:tcPr>
            <w:tcW w:w="1515" w:type="dxa"/>
            <w:gridSpan w:val="2"/>
            <w:tcBorders>
              <w:top w:val="single" w:color="auto" w:sz="4" w:space="0"/>
              <w:left w:val="nil"/>
              <w:bottom w:val="single" w:color="auto" w:sz="4" w:space="0"/>
              <w:right w:val="single" w:color="auto" w:sz="4" w:space="0"/>
            </w:tcBorders>
            <w:shd w:val="clear" w:color="auto" w:fill="FFFFFF"/>
            <w:vAlign w:val="center"/>
          </w:tcPr>
          <w:p>
            <w:pPr>
              <w:widowControl/>
              <w:wordWrap w:val="0"/>
              <w:spacing w:line="360" w:lineRule="auto"/>
              <w:jc w:val="both"/>
              <w:rPr>
                <w:rFonts w:hint="eastAsia" w:ascii="宋体" w:hAnsi="宋体" w:cs="宋体"/>
                <w:kern w:val="0"/>
                <w:sz w:val="24"/>
                <w:highlight w:val="none"/>
              </w:rPr>
            </w:pPr>
            <w:r>
              <w:rPr>
                <w:rFonts w:hint="eastAsia" w:ascii="宋体" w:hAnsi="宋体" w:cs="宋体"/>
                <w:kern w:val="0"/>
                <w:sz w:val="24"/>
                <w:highlight w:val="none"/>
                <w:lang w:val="en-US" w:eastAsia="zh-CN"/>
              </w:rPr>
              <w:t>电子</w:t>
            </w:r>
            <w:r>
              <w:rPr>
                <w:rFonts w:hint="eastAsia" w:ascii="宋体" w:hAnsi="宋体" w:cs="宋体"/>
                <w:kern w:val="0"/>
                <w:sz w:val="24"/>
                <w:highlight w:val="none"/>
              </w:rPr>
              <w:t>邮箱</w:t>
            </w:r>
          </w:p>
        </w:tc>
        <w:tc>
          <w:tcPr>
            <w:tcW w:w="2052" w:type="dxa"/>
            <w:tcBorders>
              <w:top w:val="single" w:color="auto" w:sz="4" w:space="0"/>
              <w:left w:val="nil"/>
              <w:bottom w:val="single" w:color="auto" w:sz="4" w:space="0"/>
              <w:right w:val="single" w:color="auto" w:sz="4" w:space="0"/>
            </w:tcBorders>
            <w:shd w:val="clear" w:color="auto" w:fill="FFFFFF"/>
            <w:vAlign w:val="center"/>
          </w:tcPr>
          <w:p>
            <w:pPr>
              <w:widowControl/>
              <w:wordWrap w:val="0"/>
              <w:spacing w:line="360" w:lineRule="auto"/>
              <w:jc w:val="both"/>
              <w:rPr>
                <w:rFonts w:ascii="宋体" w:hAnsi="宋体" w:cs="宋体"/>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41" w:hRule="atLeast"/>
        </w:trPr>
        <w:tc>
          <w:tcPr>
            <w:tcW w:w="1922" w:type="dxa"/>
            <w:vMerge w:val="continue"/>
            <w:tcBorders>
              <w:left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both"/>
              <w:rPr>
                <w:rFonts w:ascii="宋体" w:hAnsi="宋体" w:cs="宋体"/>
                <w:kern w:val="0"/>
                <w:sz w:val="24"/>
                <w:highlight w:val="none"/>
              </w:rPr>
            </w:pPr>
          </w:p>
        </w:tc>
        <w:tc>
          <w:tcPr>
            <w:tcW w:w="1383"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ordWrap w:val="0"/>
              <w:spacing w:line="320" w:lineRule="exact"/>
              <w:jc w:val="both"/>
              <w:rPr>
                <w:rFonts w:ascii="宋体" w:hAnsi="宋体" w:cs="宋体"/>
                <w:kern w:val="0"/>
                <w:sz w:val="24"/>
                <w:highlight w:val="none"/>
              </w:rPr>
            </w:pPr>
            <w:r>
              <w:rPr>
                <w:rFonts w:hint="eastAsia" w:ascii="宋体" w:hAnsi="宋体" w:cs="宋体"/>
                <w:kern w:val="0"/>
                <w:sz w:val="24"/>
                <w:highlight w:val="none"/>
                <w:lang w:val="en-US" w:eastAsia="zh-CN"/>
              </w:rPr>
              <w:t>手机号码</w:t>
            </w:r>
          </w:p>
        </w:tc>
        <w:tc>
          <w:tcPr>
            <w:tcW w:w="2191" w:type="dxa"/>
            <w:tcBorders>
              <w:top w:val="single" w:color="auto" w:sz="4" w:space="0"/>
              <w:left w:val="nil"/>
              <w:bottom w:val="single" w:color="auto" w:sz="4" w:space="0"/>
              <w:right w:val="single" w:color="auto" w:sz="4" w:space="0"/>
            </w:tcBorders>
            <w:shd w:val="clear" w:color="auto" w:fill="FFFFFF"/>
            <w:vAlign w:val="center"/>
          </w:tcPr>
          <w:p>
            <w:pPr>
              <w:widowControl/>
              <w:wordWrap w:val="0"/>
              <w:spacing w:line="360" w:lineRule="auto"/>
              <w:jc w:val="both"/>
              <w:rPr>
                <w:rFonts w:ascii="宋体" w:hAnsi="宋体" w:cs="宋体"/>
                <w:kern w:val="0"/>
                <w:sz w:val="24"/>
                <w:highlight w:val="none"/>
              </w:rPr>
            </w:pPr>
          </w:p>
        </w:tc>
        <w:tc>
          <w:tcPr>
            <w:tcW w:w="1515" w:type="dxa"/>
            <w:gridSpan w:val="2"/>
            <w:tcBorders>
              <w:top w:val="single" w:color="auto" w:sz="4" w:space="0"/>
              <w:left w:val="nil"/>
              <w:bottom w:val="single" w:color="auto" w:sz="4" w:space="0"/>
              <w:right w:val="single" w:color="auto" w:sz="4" w:space="0"/>
            </w:tcBorders>
            <w:shd w:val="clear" w:color="auto" w:fill="FFFFFF"/>
            <w:vAlign w:val="center"/>
          </w:tcPr>
          <w:p>
            <w:pPr>
              <w:widowControl/>
              <w:wordWrap w:val="0"/>
              <w:spacing w:line="360" w:lineRule="auto"/>
              <w:jc w:val="both"/>
              <w:rPr>
                <w:rFonts w:ascii="宋体" w:hAnsi="宋体" w:cs="宋体"/>
                <w:kern w:val="0"/>
                <w:sz w:val="24"/>
                <w:highlight w:val="none"/>
              </w:rPr>
            </w:pPr>
            <w:r>
              <w:rPr>
                <w:rFonts w:hint="eastAsia" w:ascii="宋体" w:hAnsi="宋体" w:cs="宋体"/>
                <w:kern w:val="0"/>
                <w:sz w:val="24"/>
                <w:highlight w:val="none"/>
                <w:lang w:val="en-US" w:eastAsia="zh-CN"/>
              </w:rPr>
              <w:t>微信号</w:t>
            </w:r>
          </w:p>
        </w:tc>
        <w:tc>
          <w:tcPr>
            <w:tcW w:w="2052" w:type="dxa"/>
            <w:tcBorders>
              <w:top w:val="single" w:color="auto" w:sz="4" w:space="0"/>
              <w:left w:val="nil"/>
              <w:bottom w:val="single" w:color="auto" w:sz="4" w:space="0"/>
              <w:right w:val="single" w:color="auto" w:sz="4" w:space="0"/>
            </w:tcBorders>
            <w:shd w:val="clear" w:color="auto" w:fill="FFFFFF"/>
            <w:vAlign w:val="center"/>
          </w:tcPr>
          <w:p>
            <w:pPr>
              <w:widowControl/>
              <w:wordWrap w:val="0"/>
              <w:spacing w:line="360" w:lineRule="auto"/>
              <w:jc w:val="both"/>
              <w:rPr>
                <w:rFonts w:ascii="宋体" w:hAnsi="宋体" w:cs="宋体"/>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41" w:hRule="atLeast"/>
        </w:trPr>
        <w:tc>
          <w:tcPr>
            <w:tcW w:w="1922" w:type="dxa"/>
            <w:vMerge w:val="continue"/>
            <w:tcBorders>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both"/>
              <w:rPr>
                <w:rFonts w:ascii="宋体" w:hAnsi="宋体" w:cs="宋体"/>
                <w:kern w:val="0"/>
                <w:sz w:val="24"/>
                <w:highlight w:val="none"/>
              </w:rPr>
            </w:pPr>
          </w:p>
        </w:tc>
        <w:tc>
          <w:tcPr>
            <w:tcW w:w="1383"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wordWrap w:val="0"/>
              <w:spacing w:line="360" w:lineRule="auto"/>
              <w:jc w:val="both"/>
              <w:rPr>
                <w:rFonts w:hint="eastAsia" w:ascii="宋体" w:hAnsi="宋体" w:cs="宋体"/>
                <w:kern w:val="0"/>
                <w:sz w:val="24"/>
                <w:highlight w:val="none"/>
              </w:rPr>
            </w:pPr>
            <w:r>
              <w:rPr>
                <w:rFonts w:hint="eastAsia" w:ascii="宋体" w:hAnsi="宋体" w:cs="宋体"/>
                <w:kern w:val="0"/>
                <w:sz w:val="24"/>
                <w:highlight w:val="none"/>
              </w:rPr>
              <w:t>通讯地址</w:t>
            </w:r>
          </w:p>
        </w:tc>
        <w:tc>
          <w:tcPr>
            <w:tcW w:w="5758" w:type="dxa"/>
            <w:gridSpan w:val="4"/>
            <w:tcBorders>
              <w:top w:val="single" w:color="auto" w:sz="4" w:space="0"/>
              <w:left w:val="nil"/>
              <w:bottom w:val="single" w:color="auto" w:sz="4" w:space="0"/>
              <w:right w:val="single" w:color="auto" w:sz="4" w:space="0"/>
            </w:tcBorders>
            <w:shd w:val="clear" w:color="auto" w:fill="FFFFFF"/>
            <w:vAlign w:val="center"/>
          </w:tcPr>
          <w:p>
            <w:pPr>
              <w:widowControl/>
              <w:wordWrap w:val="0"/>
              <w:spacing w:line="360" w:lineRule="auto"/>
              <w:jc w:val="both"/>
              <w:rPr>
                <w:rFonts w:ascii="宋体" w:hAnsi="宋体" w:cs="宋体"/>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9063"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wordWrap w:val="0"/>
              <w:spacing w:line="360" w:lineRule="auto"/>
              <w:jc w:val="center"/>
              <w:rPr>
                <w:rFonts w:hint="default" w:ascii="宋体" w:hAnsi="宋体" w:eastAsia="宋体" w:cs="宋体"/>
                <w:b/>
                <w:bCs/>
                <w:kern w:val="0"/>
                <w:sz w:val="24"/>
                <w:highlight w:val="none"/>
                <w:lang w:val="en-US" w:eastAsia="zh-CN"/>
              </w:rPr>
            </w:pPr>
            <w:r>
              <w:rPr>
                <w:rFonts w:hint="eastAsia" w:ascii="宋体" w:hAnsi="宋体" w:cs="宋体"/>
                <w:b/>
                <w:bCs/>
                <w:kern w:val="0"/>
                <w:sz w:val="24"/>
                <w:highlight w:val="none"/>
                <w:lang w:val="en-US" w:eastAsia="zh-CN"/>
              </w:rPr>
              <w:t>案例简要介绍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50" w:hRule="atLeast"/>
        </w:trPr>
        <w:tc>
          <w:tcPr>
            <w:tcW w:w="9063" w:type="dxa"/>
            <w:gridSpan w:val="6"/>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77" w:hRule="atLeast"/>
        </w:trPr>
        <w:tc>
          <w:tcPr>
            <w:tcW w:w="9063"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ordWrap w:val="0"/>
              <w:spacing w:line="360" w:lineRule="auto"/>
              <w:ind w:firstLine="480" w:firstLineChars="200"/>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rPr>
              <w:t>我</w:t>
            </w:r>
            <w:r>
              <w:rPr>
                <w:rFonts w:hint="eastAsia" w:ascii="楷体" w:hAnsi="楷体" w:eastAsia="楷体" w:cs="楷体"/>
                <w:kern w:val="0"/>
                <w:sz w:val="24"/>
                <w:szCs w:val="24"/>
                <w:highlight w:val="none"/>
                <w:lang w:val="en-US" w:eastAsia="zh-CN"/>
              </w:rPr>
              <w:t>单位</w:t>
            </w:r>
            <w:r>
              <w:rPr>
                <w:rFonts w:hint="eastAsia" w:ascii="楷体" w:hAnsi="楷体" w:eastAsia="楷体" w:cs="楷体"/>
                <w:kern w:val="0"/>
                <w:sz w:val="24"/>
                <w:szCs w:val="24"/>
                <w:highlight w:val="none"/>
              </w:rPr>
              <w:t>已对以上申报的所有材料进行了审核，</w:t>
            </w:r>
            <w:r>
              <w:rPr>
                <w:rFonts w:hint="eastAsia" w:ascii="楷体" w:hAnsi="楷体" w:eastAsia="楷体" w:cs="楷体"/>
                <w:kern w:val="0"/>
                <w:sz w:val="24"/>
                <w:szCs w:val="24"/>
                <w:highlight w:val="none"/>
                <w:lang w:eastAsia="zh-CN"/>
              </w:rPr>
              <w:t>推荐</w:t>
            </w:r>
            <w:r>
              <w:rPr>
                <w:rFonts w:hint="eastAsia" w:ascii="楷体" w:hAnsi="楷体" w:eastAsia="楷体" w:cs="楷体"/>
                <w:kern w:val="0"/>
                <w:sz w:val="24"/>
                <w:szCs w:val="24"/>
                <w:highlight w:val="none"/>
              </w:rPr>
              <w:t>材料均真实、有效。如有虚报，接受通报并</w:t>
            </w:r>
            <w:r>
              <w:rPr>
                <w:rFonts w:hint="eastAsia" w:ascii="楷体" w:hAnsi="楷体" w:eastAsia="楷体" w:cs="楷体"/>
                <w:kern w:val="0"/>
                <w:sz w:val="24"/>
                <w:szCs w:val="24"/>
                <w:highlight w:val="none"/>
                <w:lang w:eastAsia="zh-CN"/>
              </w:rPr>
              <w:t>同意</w:t>
            </w:r>
            <w:r>
              <w:rPr>
                <w:rFonts w:hint="eastAsia" w:ascii="楷体" w:hAnsi="楷体" w:eastAsia="楷体" w:cs="楷体"/>
                <w:kern w:val="0"/>
                <w:sz w:val="24"/>
                <w:szCs w:val="24"/>
                <w:highlight w:val="none"/>
              </w:rPr>
              <w:t>取消</w:t>
            </w:r>
            <w:r>
              <w:rPr>
                <w:rFonts w:hint="eastAsia" w:ascii="楷体" w:hAnsi="楷体" w:eastAsia="楷体" w:cs="楷体"/>
                <w:kern w:val="0"/>
                <w:sz w:val="24"/>
                <w:szCs w:val="24"/>
                <w:highlight w:val="none"/>
                <w:lang w:eastAsia="zh-CN"/>
              </w:rPr>
              <w:t>推荐</w:t>
            </w:r>
            <w:r>
              <w:rPr>
                <w:rFonts w:hint="eastAsia" w:ascii="楷体" w:hAnsi="楷体" w:eastAsia="楷体" w:cs="楷体"/>
                <w:kern w:val="0"/>
                <w:sz w:val="24"/>
                <w:szCs w:val="24"/>
                <w:highlight w:val="none"/>
              </w:rPr>
              <w:t>资格。</w:t>
            </w:r>
            <w:r>
              <w:rPr>
                <w:rFonts w:hint="eastAsia" w:ascii="楷体" w:hAnsi="楷体" w:eastAsia="楷体" w:cs="楷体"/>
                <w:kern w:val="0"/>
                <w:sz w:val="24"/>
                <w:szCs w:val="24"/>
                <w:highlight w:val="none"/>
                <w:lang w:val="en-US" w:eastAsia="zh-CN"/>
              </w:rPr>
              <w:t>若案例最终入选，同意将案例内容汇编对外公开。</w:t>
            </w:r>
          </w:p>
          <w:p>
            <w:pPr>
              <w:pStyle w:val="2"/>
              <w:rPr>
                <w:rFonts w:hint="default" w:ascii="Calibri" w:hAnsi="Calibri" w:eastAsia="宋体" w:cs="Times New Roman"/>
                <w:kern w:val="2"/>
                <w:szCs w:val="24"/>
                <w:highlight w:val="none"/>
                <w:lang w:val="en-US" w:eastAsia="zh-CN"/>
              </w:rPr>
            </w:pPr>
          </w:p>
          <w:p>
            <w:pPr>
              <w:wordWrap w:val="0"/>
              <w:spacing w:line="360" w:lineRule="auto"/>
              <w:ind w:firstLine="5040" w:firstLineChars="2100"/>
              <w:rPr>
                <w:rFonts w:ascii="楷体" w:hAnsi="楷体" w:eastAsia="楷体" w:cs="楷体"/>
                <w:kern w:val="0"/>
                <w:sz w:val="24"/>
                <w:szCs w:val="24"/>
                <w:highlight w:val="none"/>
              </w:rPr>
            </w:pPr>
            <w:r>
              <w:rPr>
                <w:rFonts w:hint="eastAsia" w:ascii="楷体" w:hAnsi="楷体" w:eastAsia="楷体" w:cs="楷体"/>
                <w:kern w:val="0"/>
                <w:sz w:val="24"/>
                <w:szCs w:val="24"/>
                <w:highlight w:val="none"/>
                <w:lang w:val="en-US" w:eastAsia="zh-CN"/>
              </w:rPr>
              <w:t>单位负责人签字</w:t>
            </w:r>
            <w:r>
              <w:rPr>
                <w:rFonts w:hint="eastAsia" w:ascii="楷体" w:hAnsi="楷体" w:eastAsia="楷体" w:cs="楷体"/>
                <w:kern w:val="0"/>
                <w:sz w:val="24"/>
                <w:szCs w:val="24"/>
                <w:highlight w:val="none"/>
              </w:rPr>
              <w:t>：</w:t>
            </w:r>
          </w:p>
          <w:p>
            <w:pPr>
              <w:wordWrap w:val="0"/>
              <w:spacing w:line="360" w:lineRule="auto"/>
              <w:ind w:firstLine="6240" w:firstLineChars="2600"/>
              <w:rPr>
                <w:rFonts w:ascii="楷体" w:hAnsi="楷体" w:eastAsia="楷体" w:cs="楷体"/>
                <w:kern w:val="0"/>
                <w:sz w:val="24"/>
                <w:szCs w:val="24"/>
                <w:highlight w:val="none"/>
              </w:rPr>
            </w:pPr>
            <w:r>
              <w:rPr>
                <w:rFonts w:hint="eastAsia" w:ascii="楷体" w:hAnsi="楷体" w:eastAsia="楷体" w:cs="楷体"/>
                <w:kern w:val="0"/>
                <w:sz w:val="24"/>
                <w:szCs w:val="24"/>
                <w:highlight w:val="none"/>
                <w:lang w:val="en-US" w:eastAsia="zh-CN"/>
              </w:rPr>
              <w:t>盖章</w:t>
            </w:r>
            <w:r>
              <w:rPr>
                <w:rFonts w:hint="eastAsia" w:ascii="楷体" w:hAnsi="楷体" w:eastAsia="楷体" w:cs="楷体"/>
                <w:kern w:val="0"/>
                <w:sz w:val="24"/>
                <w:szCs w:val="24"/>
                <w:highlight w:val="none"/>
              </w:rPr>
              <w:t>：</w:t>
            </w:r>
          </w:p>
          <w:p>
            <w:pPr>
              <w:wordWrap w:val="0"/>
              <w:spacing w:line="360" w:lineRule="auto"/>
              <w:ind w:firstLine="3120" w:firstLineChars="1300"/>
              <w:rPr>
                <w:rFonts w:ascii="宋体" w:hAnsi="宋体" w:cs="方正仿宋_GB2312"/>
                <w:kern w:val="0"/>
                <w:sz w:val="24"/>
                <w:highlight w:val="none"/>
              </w:rPr>
            </w:pPr>
            <w:r>
              <w:rPr>
                <w:rFonts w:hint="eastAsia" w:ascii="楷体" w:hAnsi="楷体" w:eastAsia="楷体" w:cs="楷体"/>
                <w:kern w:val="0"/>
                <w:sz w:val="24"/>
                <w:szCs w:val="24"/>
                <w:highlight w:val="none"/>
              </w:rPr>
              <w:t xml:space="preserve">    </w:t>
            </w:r>
            <w:r>
              <w:rPr>
                <w:rFonts w:hint="eastAsia" w:ascii="楷体" w:hAnsi="楷体" w:eastAsia="楷体" w:cs="楷体"/>
                <w:kern w:val="0"/>
                <w:sz w:val="24"/>
                <w:szCs w:val="24"/>
                <w:highlight w:val="none"/>
                <w:lang w:val="en-US" w:eastAsia="zh-CN"/>
              </w:rPr>
              <w:t xml:space="preserve">                               </w:t>
            </w:r>
            <w:r>
              <w:rPr>
                <w:rFonts w:hint="eastAsia" w:ascii="楷体" w:hAnsi="楷体" w:eastAsia="楷体" w:cs="楷体"/>
                <w:kern w:val="0"/>
                <w:sz w:val="24"/>
                <w:szCs w:val="24"/>
                <w:highlight w:val="none"/>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4" w:hRule="atLeast"/>
        </w:trPr>
        <w:tc>
          <w:tcPr>
            <w:tcW w:w="9063"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wordWrap w:val="0"/>
              <w:spacing w:line="360" w:lineRule="auto"/>
              <w:jc w:val="center"/>
              <w:rPr>
                <w:rFonts w:hint="default" w:ascii="宋体" w:hAnsi="宋体" w:eastAsia="宋体" w:cs="宋体"/>
                <w:kern w:val="0"/>
                <w:sz w:val="24"/>
                <w:highlight w:val="none"/>
                <w:lang w:val="en-US" w:eastAsia="zh-CN"/>
              </w:rPr>
            </w:pPr>
            <w:r>
              <w:rPr>
                <w:rFonts w:hint="eastAsia" w:ascii="宋体" w:hAnsi="宋体" w:cs="宋体"/>
                <w:b/>
                <w:bCs/>
                <w:kern w:val="0"/>
                <w:sz w:val="24"/>
                <w:highlight w:val="none"/>
                <w:lang w:val="en-US" w:eastAsia="zh-CN"/>
              </w:rPr>
              <w:t>2023年度广东绿色金融改革创新案例详细说明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3498" w:hRule="atLeast"/>
        </w:trPr>
        <w:tc>
          <w:tcPr>
            <w:tcW w:w="9063" w:type="dxa"/>
            <w:gridSpan w:val="6"/>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top"/>
          </w:tcPr>
          <w:p>
            <w:pPr>
              <w:pStyle w:val="2"/>
              <w:widowControl w:val="0"/>
              <w:wordWrap/>
              <w:adjustRightInd w:val="0"/>
              <w:snapToGrid w:val="0"/>
              <w:spacing w:line="560" w:lineRule="exact"/>
              <w:ind w:left="0" w:leftChars="0"/>
              <w:jc w:val="both"/>
              <w:textAlignment w:val="auto"/>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建议填报格式：</w:t>
            </w:r>
          </w:p>
          <w:p>
            <w:pPr>
              <w:pStyle w:val="2"/>
              <w:widowControl w:val="0"/>
              <w:numPr>
                <w:ilvl w:val="0"/>
                <w:numId w:val="1"/>
              </w:numPr>
              <w:wordWrap/>
              <w:adjustRightInd w:val="0"/>
              <w:snapToGrid w:val="0"/>
              <w:spacing w:line="560" w:lineRule="exact"/>
              <w:ind w:left="0" w:leftChars="0"/>
              <w:jc w:val="both"/>
              <w:textAlignment w:val="auto"/>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案例背景</w:t>
            </w:r>
          </w:p>
          <w:p>
            <w:pPr>
              <w:pStyle w:val="2"/>
              <w:widowControl w:val="0"/>
              <w:numPr>
                <w:ilvl w:val="0"/>
                <w:numId w:val="0"/>
              </w:numPr>
              <w:wordWrap/>
              <w:adjustRightInd w:val="0"/>
              <w:snapToGrid w:val="0"/>
              <w:spacing w:line="560" w:lineRule="exact"/>
              <w:ind w:left="0" w:leftChars="0"/>
              <w:jc w:val="both"/>
              <w:textAlignment w:val="auto"/>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w:t>
            </w:r>
          </w:p>
          <w:p>
            <w:pPr>
              <w:pStyle w:val="2"/>
              <w:widowControl w:val="0"/>
              <w:numPr>
                <w:ilvl w:val="0"/>
                <w:numId w:val="1"/>
              </w:numPr>
              <w:wordWrap/>
              <w:adjustRightInd w:val="0"/>
              <w:snapToGrid w:val="0"/>
              <w:spacing w:line="560" w:lineRule="exact"/>
              <w:ind w:left="0" w:leftChars="0"/>
              <w:jc w:val="both"/>
              <w:textAlignment w:val="auto"/>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具体做法</w:t>
            </w:r>
          </w:p>
          <w:p>
            <w:pPr>
              <w:pStyle w:val="2"/>
              <w:widowControl w:val="0"/>
              <w:numPr>
                <w:ilvl w:val="0"/>
                <w:numId w:val="0"/>
              </w:numPr>
              <w:wordWrap/>
              <w:adjustRightInd w:val="0"/>
              <w:snapToGrid w:val="0"/>
              <w:spacing w:line="560" w:lineRule="exact"/>
              <w:ind w:left="0" w:leftChars="0"/>
              <w:jc w:val="both"/>
              <w:textAlignment w:val="auto"/>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w:t>
            </w:r>
          </w:p>
          <w:p>
            <w:pPr>
              <w:pStyle w:val="2"/>
              <w:widowControl w:val="0"/>
              <w:numPr>
                <w:ilvl w:val="0"/>
                <w:numId w:val="1"/>
              </w:numPr>
              <w:wordWrap/>
              <w:adjustRightInd w:val="0"/>
              <w:snapToGrid w:val="0"/>
              <w:spacing w:line="560" w:lineRule="exact"/>
              <w:ind w:left="0" w:leftChars="0"/>
              <w:jc w:val="both"/>
              <w:textAlignment w:val="auto"/>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实践成效</w:t>
            </w:r>
          </w:p>
          <w:p>
            <w:pPr>
              <w:pStyle w:val="2"/>
              <w:widowControl w:val="0"/>
              <w:numPr>
                <w:ilvl w:val="0"/>
                <w:numId w:val="0"/>
              </w:numPr>
              <w:wordWrap/>
              <w:adjustRightInd w:val="0"/>
              <w:snapToGrid w:val="0"/>
              <w:spacing w:line="560" w:lineRule="exact"/>
              <w:ind w:left="0" w:leftChars="0"/>
              <w:jc w:val="both"/>
              <w:textAlignment w:val="auto"/>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w:t>
            </w:r>
          </w:p>
          <w:p>
            <w:pPr>
              <w:pStyle w:val="2"/>
              <w:widowControl w:val="0"/>
              <w:numPr>
                <w:ilvl w:val="0"/>
                <w:numId w:val="1"/>
              </w:numPr>
              <w:wordWrap/>
              <w:adjustRightInd w:val="0"/>
              <w:snapToGrid w:val="0"/>
              <w:spacing w:line="560" w:lineRule="exact"/>
              <w:ind w:left="0" w:leftChars="0"/>
              <w:jc w:val="both"/>
              <w:textAlignment w:val="auto"/>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创新亮点</w:t>
            </w:r>
          </w:p>
          <w:p>
            <w:pPr>
              <w:pStyle w:val="2"/>
              <w:widowControl w:val="0"/>
              <w:numPr>
                <w:ilvl w:val="0"/>
                <w:numId w:val="0"/>
              </w:numPr>
              <w:wordWrap/>
              <w:adjustRightInd w:val="0"/>
              <w:snapToGrid w:val="0"/>
              <w:spacing w:line="560" w:lineRule="exact"/>
              <w:ind w:left="0" w:leftChars="0"/>
              <w:jc w:val="both"/>
              <w:textAlignment w:val="auto"/>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w:t>
            </w:r>
          </w:p>
          <w:p>
            <w:pPr>
              <w:pStyle w:val="2"/>
              <w:widowControl w:val="0"/>
              <w:numPr>
                <w:ilvl w:val="0"/>
                <w:numId w:val="1"/>
              </w:numPr>
              <w:wordWrap/>
              <w:adjustRightInd w:val="0"/>
              <w:snapToGrid w:val="0"/>
              <w:spacing w:line="560" w:lineRule="exact"/>
              <w:ind w:left="0" w:leftChars="0"/>
              <w:jc w:val="both"/>
              <w:textAlignment w:val="auto"/>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推广建议</w:t>
            </w:r>
          </w:p>
          <w:p>
            <w:pPr>
              <w:pStyle w:val="2"/>
              <w:widowControl w:val="0"/>
              <w:numPr>
                <w:ilvl w:val="0"/>
                <w:numId w:val="0"/>
              </w:numPr>
              <w:wordWrap/>
              <w:adjustRightInd w:val="0"/>
              <w:snapToGrid w:val="0"/>
              <w:spacing w:line="560" w:lineRule="exact"/>
              <w:ind w:left="0" w:leftChars="0"/>
              <w:jc w:val="both"/>
              <w:textAlignment w:val="auto"/>
              <w:rPr>
                <w:rFonts w:hint="default"/>
                <w:lang w:val="en-US" w:eastAsia="zh-CN"/>
              </w:rPr>
            </w:pPr>
            <w:r>
              <w:rPr>
                <w:rFonts w:hint="eastAsia" w:ascii="楷体" w:hAnsi="楷体" w:eastAsia="楷体" w:cs="楷体"/>
                <w:kern w:val="0"/>
                <w:sz w:val="24"/>
                <w:szCs w:val="24"/>
                <w:highlight w:val="none"/>
                <w:lang w:val="en-US" w:eastAsia="zh-CN"/>
              </w:rPr>
              <w:t>......</w:t>
            </w:r>
          </w:p>
        </w:tc>
      </w:tr>
    </w:tbl>
    <w:p>
      <w:pPr>
        <w:widowControl w:val="0"/>
        <w:wordWrap/>
        <w:adjustRightInd w:val="0"/>
        <w:snapToGrid w:val="0"/>
        <w:spacing w:line="560" w:lineRule="exact"/>
        <w:jc w:val="both"/>
        <w:textAlignment w:val="auto"/>
        <w:rPr>
          <w:rFonts w:hint="eastAsia"/>
          <w:lang w:val="en-US" w:eastAsia="zh-CN"/>
        </w:rPr>
      </w:pPr>
      <w:r>
        <w:rPr>
          <w:rFonts w:hint="eastAsia" w:ascii="黑体" w:hAnsi="黑体" w:eastAsia="黑体" w:cs="黑体"/>
          <w:sz w:val="32"/>
          <w:szCs w:val="32"/>
          <w:highlight w:val="none"/>
          <w:lang w:val="en-US" w:eastAsia="zh-CN"/>
        </w:rPr>
        <w:br w:type="page"/>
      </w:r>
      <w:r>
        <w:rPr>
          <w:rFonts w:hint="eastAsia" w:ascii="仿宋_GB2312" w:hAnsi="仿宋_GB2312" w:eastAsia="仿宋_GB2312" w:cs="仿宋_GB2312"/>
          <w:sz w:val="32"/>
          <w:szCs w:val="32"/>
          <w:highlight w:val="none"/>
          <w:lang w:val="en-US" w:eastAsia="zh-CN"/>
        </w:rPr>
        <w:t>附件2</w:t>
      </w:r>
    </w:p>
    <w:p>
      <w:pPr>
        <w:widowControl w:val="0"/>
        <w:wordWrap/>
        <w:adjustRightInd w:val="0"/>
        <w:snapToGrid w:val="0"/>
        <w:spacing w:line="560" w:lineRule="exact"/>
        <w:jc w:val="center"/>
        <w:textAlignment w:val="auto"/>
        <w:rPr>
          <w:rFonts w:hint="eastAsia" w:ascii="方正小标宋简体" w:hAnsi="仿宋" w:eastAsia="方正小标宋简体" w:cs="仿宋"/>
          <w:sz w:val="44"/>
          <w:szCs w:val="44"/>
          <w:highlight w:val="none"/>
        </w:rPr>
      </w:pPr>
      <w:r>
        <w:rPr>
          <w:rFonts w:hint="eastAsia" w:ascii="方正小标宋简体" w:hAnsi="Times New Roman" w:eastAsia="方正小标宋简体" w:cs="Times New Roman"/>
          <w:sz w:val="44"/>
          <w:szCs w:val="44"/>
          <w:highlight w:val="none"/>
          <w:lang w:val="en-US" w:eastAsia="zh-CN"/>
        </w:rPr>
        <w:t>广东</w:t>
      </w:r>
      <w:r>
        <w:rPr>
          <w:rFonts w:hint="eastAsia" w:ascii="方正小标宋简体" w:hAnsi="Times New Roman" w:eastAsia="方正小标宋简体" w:cs="Times New Roman"/>
          <w:sz w:val="44"/>
          <w:szCs w:val="44"/>
          <w:highlight w:val="none"/>
        </w:rPr>
        <w:t>绿色金融改革创新</w:t>
      </w:r>
      <w:r>
        <w:rPr>
          <w:rFonts w:hint="eastAsia" w:ascii="方正小标宋简体" w:hAnsi="Times New Roman" w:eastAsia="方正小标宋简体" w:cs="Times New Roman"/>
          <w:sz w:val="44"/>
          <w:szCs w:val="44"/>
          <w:highlight w:val="none"/>
          <w:lang w:eastAsia="zh-CN"/>
        </w:rPr>
        <w:t>典型</w:t>
      </w:r>
      <w:r>
        <w:rPr>
          <w:rFonts w:hint="eastAsia" w:ascii="方正小标宋简体" w:hAnsi="Times New Roman" w:eastAsia="方正小标宋简体" w:cs="Times New Roman"/>
          <w:sz w:val="44"/>
          <w:szCs w:val="44"/>
          <w:highlight w:val="none"/>
        </w:rPr>
        <w:t>案例参考</w:t>
      </w:r>
    </w:p>
    <w:p>
      <w:pPr>
        <w:widowControl w:val="0"/>
        <w:wordWrap/>
        <w:adjustRightInd w:val="0"/>
        <w:snapToGrid w:val="0"/>
        <w:spacing w:line="560" w:lineRule="exact"/>
        <w:jc w:val="center"/>
        <w:textAlignment w:val="auto"/>
        <w:rPr>
          <w:rFonts w:hint="eastAsia" w:ascii="方正小标宋简体" w:hAnsi="宋体" w:eastAsia="方正小标宋简体" w:cs="宋体"/>
          <w:bCs/>
          <w:sz w:val="36"/>
          <w:szCs w:val="44"/>
          <w:highlight w:val="none"/>
        </w:rPr>
      </w:pPr>
      <w:r>
        <w:rPr>
          <w:rFonts w:hint="eastAsia" w:ascii="方正小标宋简体" w:hAnsi="宋体" w:eastAsia="方正小标宋简体" w:cs="宋体"/>
          <w:bCs/>
          <w:sz w:val="36"/>
          <w:szCs w:val="44"/>
          <w:highlight w:val="none"/>
        </w:rPr>
        <w:t>——公益林碳普惠助力生态产品价值实现</w:t>
      </w:r>
    </w:p>
    <w:p>
      <w:pPr>
        <w:widowControl w:val="0"/>
        <w:numPr>
          <w:ilvl w:val="0"/>
          <w:numId w:val="0"/>
        </w:numPr>
        <w:wordWrap/>
        <w:adjustRightInd w:val="0"/>
        <w:snapToGrid w:val="0"/>
        <w:spacing w:line="560" w:lineRule="exact"/>
        <w:ind w:firstLine="320" w:firstLineChars="100"/>
        <w:jc w:val="both"/>
        <w:textAlignment w:val="auto"/>
        <w:rPr>
          <w:rFonts w:hint="eastAsia" w:ascii="楷体_GB2312" w:hAnsi="楷体_GB2312" w:eastAsia="楷体_GB2312" w:cs="楷体_GB2312"/>
          <w:b/>
          <w:bCs/>
          <w:color w:val="000000"/>
          <w:sz w:val="32"/>
          <w:szCs w:val="32"/>
          <w:highlight w:val="none"/>
          <w:lang w:val="en-US" w:eastAsia="zh-CN"/>
        </w:rPr>
      </w:pPr>
    </w:p>
    <w:p>
      <w:pPr>
        <w:widowControl w:val="0"/>
        <w:numPr>
          <w:ilvl w:val="0"/>
          <w:numId w:val="0"/>
        </w:numPr>
        <w:wordWrap/>
        <w:adjustRightInd w:val="0"/>
        <w:snapToGrid w:val="0"/>
        <w:spacing w:line="560" w:lineRule="exact"/>
        <w:ind w:firstLine="640" w:firstLineChars="200"/>
        <w:jc w:val="both"/>
        <w:textAlignment w:val="auto"/>
        <w:rPr>
          <w:rFonts w:hint="eastAsia" w:ascii="黑体" w:hAnsi="黑体" w:eastAsia="黑体" w:cs="黑体"/>
          <w:b w:val="0"/>
          <w:bCs w:val="0"/>
          <w:color w:val="000000"/>
          <w:sz w:val="32"/>
          <w:szCs w:val="32"/>
          <w:highlight w:val="none"/>
          <w:lang w:val="en-US"/>
        </w:rPr>
      </w:pPr>
      <w:r>
        <w:rPr>
          <w:rFonts w:hint="eastAsia" w:ascii="黑体" w:hAnsi="黑体" w:eastAsia="黑体" w:cs="黑体"/>
          <w:b w:val="0"/>
          <w:bCs w:val="0"/>
          <w:color w:val="000000"/>
          <w:sz w:val="32"/>
          <w:szCs w:val="32"/>
          <w:highlight w:val="none"/>
          <w:lang w:val="en-US" w:eastAsia="zh-CN"/>
        </w:rPr>
        <w:t>一、案例背景</w:t>
      </w:r>
    </w:p>
    <w:p>
      <w:pPr>
        <w:widowControl w:val="0"/>
        <w:wordWrap/>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2017年获批国家级绿色金融改革创新试验区以来，在广东省委省政府、广州市委市政府的领导下，在人民银行广州分行、省市金融部门的具体指导下，广州市花都区认真贯彻落实习近平总书记生态文明思想，践行“绿水青山就是金山银山”理念，紧紧围绕中国人民银行、国家发展改革委、环境保护部等七部委联合印发的《关于印发&lt;广东省广州市建设绿色金融改革创新试验区总体方案&gt;的通知》（银发〔2017〕154号）中关于“稳妥有序探索建设环境权益交易市场”“支持在花都区北部生态休闲带审慎探索试点开发碳汇项目”等要求，通过多渠道市场化模式推动企业和社会公众参与，大力支持花都区内企业广州碳排放权交易所发展林业碳汇，实现政府主导、企业和社会参与、市场化运作、可持续的生态保护补偿机制。花都区公益林碳普惠项目案例入选自然资源部《生态产品价值实现典型案例》（第二批），是全省唯一入选案例。</w:t>
      </w:r>
    </w:p>
    <w:p>
      <w:pPr>
        <w:widowControl w:val="0"/>
        <w:numPr>
          <w:ilvl w:val="0"/>
          <w:numId w:val="0"/>
        </w:numPr>
        <w:wordWrap/>
        <w:adjustRightInd w:val="0"/>
        <w:snapToGrid w:val="0"/>
        <w:spacing w:line="560" w:lineRule="exact"/>
        <w:ind w:firstLine="640" w:firstLineChars="200"/>
        <w:jc w:val="both"/>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二、具体做法</w:t>
      </w:r>
    </w:p>
    <w:p>
      <w:pPr>
        <w:widowControl w:val="0"/>
        <w:wordWrap/>
        <w:adjustRightInd w:val="0"/>
        <w:snapToGrid w:val="0"/>
        <w:spacing w:line="560" w:lineRule="exact"/>
        <w:ind w:firstLine="627" w:firstLineChars="196"/>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val="0"/>
          <w:bCs w:val="0"/>
          <w:color w:val="000000"/>
          <w:sz w:val="32"/>
          <w:szCs w:val="32"/>
          <w:highlight w:val="none"/>
        </w:rPr>
        <w:t>基于林业碳汇的生态补偿涉及林业碳汇项目开发、项目减排量核算及签发、减排量交易、碳排放权履约等流程。结合广东省碳普惠制试点工作（碳普惠制是对小微企业、社区家庭和个人的节能减碳行为进行具体量化和赋予一定价值，并建立起商业激励、政策鼓励和核证减排量交易相结合的正向引导机制），在广东省碳普惠制试点中选择具备资质的机构进行项目开发，依据广东省出台的森林保护和森林经营的方法学开展林业碳普惠减排量的计算，由第三方机构出具碳普惠减排量核证报告，并提出项目备案申请以及碳普惠减排量申请，最终由省级碳普惠主管部门批复省级碳普惠减排量。项目业主委托广州碳排放权交易中心对碳普惠减排量进行交易，并根据交易结果进行减排量登记，交易结束后项目业主获得碳汇收益，碳普惠减排量可用于控排企业抵消自身产生的碳排放进行履约。</w:t>
      </w:r>
    </w:p>
    <w:p>
      <w:pPr>
        <w:widowControl w:val="0"/>
        <w:numPr>
          <w:ilvl w:val="0"/>
          <w:numId w:val="0"/>
        </w:numPr>
        <w:wordWrap/>
        <w:adjustRightInd w:val="0"/>
        <w:snapToGrid w:val="0"/>
        <w:spacing w:line="560" w:lineRule="exact"/>
        <w:ind w:left="0" w:firstLine="640" w:firstLineChars="200"/>
        <w:jc w:val="both"/>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val="en-US" w:eastAsia="zh-CN"/>
        </w:rPr>
        <w:t>三、</w:t>
      </w:r>
      <w:r>
        <w:rPr>
          <w:rFonts w:hint="eastAsia" w:ascii="黑体" w:hAnsi="黑体" w:eastAsia="黑体" w:cs="黑体"/>
          <w:b w:val="0"/>
          <w:bCs w:val="0"/>
          <w:color w:val="000000"/>
          <w:sz w:val="32"/>
          <w:szCs w:val="32"/>
          <w:highlight w:val="none"/>
        </w:rPr>
        <w:t>实践效果</w:t>
      </w:r>
    </w:p>
    <w:p>
      <w:pPr>
        <w:widowControl w:val="0"/>
        <w:numPr>
          <w:ilvl w:val="0"/>
          <w:numId w:val="0"/>
        </w:numPr>
        <w:wordWrap/>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梯面镇是广州市唯一的山区镇，地处花都区一轴四带的北部森林生态保护发展带，素有广州市“北肺”之称。梯面林场委托中国质量认证中心广州分中心，依据《广东省森林保护碳普惠方法学》，对其权属范围内</w:t>
      </w:r>
      <w:r>
        <w:rPr>
          <w:rFonts w:hint="eastAsia" w:ascii="仿宋_GB2312" w:hAnsi="仿宋_GB2312" w:eastAsia="仿宋_GB2312" w:cs="仿宋_GB2312"/>
          <w:sz w:val="32"/>
          <w:szCs w:val="32"/>
          <w:highlight w:val="none"/>
          <w:lang w:val="en-US" w:eastAsia="zh-CN"/>
        </w:rPr>
        <w:t>1800</w:t>
      </w:r>
      <w:r>
        <w:rPr>
          <w:rFonts w:hint="eastAsia" w:ascii="仿宋_GB2312" w:hAnsi="仿宋_GB2312" w:eastAsia="仿宋_GB2312" w:cs="仿宋_GB2312"/>
          <w:sz w:val="32"/>
          <w:szCs w:val="32"/>
          <w:highlight w:val="none"/>
        </w:rPr>
        <w:t>多公顷生态公益林</w:t>
      </w:r>
      <w:r>
        <w:rPr>
          <w:rFonts w:hint="eastAsia" w:ascii="仿宋_GB2312" w:hAnsi="仿宋_GB2312" w:eastAsia="仿宋_GB2312" w:cs="仿宋_GB2312"/>
          <w:sz w:val="32"/>
          <w:szCs w:val="32"/>
          <w:highlight w:val="none"/>
          <w:lang w:val="en-US" w:eastAsia="zh-CN"/>
        </w:rPr>
        <w:t>2011-2014</w:t>
      </w:r>
      <w:r>
        <w:rPr>
          <w:rFonts w:hint="eastAsia" w:ascii="仿宋_GB2312" w:hAnsi="仿宋_GB2312" w:eastAsia="仿宋_GB2312" w:cs="仿宋_GB2312"/>
          <w:sz w:val="32"/>
          <w:szCs w:val="32"/>
          <w:highlight w:val="none"/>
        </w:rPr>
        <w:t>年间产生的林业碳普惠核证减排量进行了第三方核算，结果显示，梯面林场项目区年平均碳汇增长速率超过</w:t>
      </w:r>
      <w:r>
        <w:rPr>
          <w:rFonts w:hint="eastAsia" w:ascii="仿宋_GB2312" w:hAnsi="仿宋_GB2312" w:eastAsia="仿宋_GB2312" w:cs="仿宋_GB2312"/>
          <w:sz w:val="32"/>
          <w:szCs w:val="32"/>
          <w:highlight w:val="none"/>
          <w:lang w:val="en-US" w:eastAsia="zh-CN"/>
        </w:rPr>
        <w:t>5.0</w:t>
      </w:r>
      <w:r>
        <w:rPr>
          <w:rFonts w:hint="eastAsia" w:ascii="仿宋_GB2312" w:hAnsi="仿宋_GB2312" w:eastAsia="仿宋_GB2312" w:cs="仿宋_GB2312"/>
          <w:sz w:val="32"/>
          <w:szCs w:val="32"/>
          <w:highlight w:val="none"/>
        </w:rPr>
        <w:t>吨二氧化碳当量/公顷，高于全省公益林</w:t>
      </w:r>
      <w:r>
        <w:rPr>
          <w:rFonts w:hint="eastAsia" w:ascii="仿宋_GB2312" w:hAnsi="仿宋_GB2312" w:eastAsia="仿宋_GB2312" w:cs="仿宋_GB2312"/>
          <w:sz w:val="32"/>
          <w:szCs w:val="32"/>
          <w:highlight w:val="none"/>
          <w:lang w:val="en-US" w:eastAsia="zh-CN"/>
        </w:rPr>
        <w:t>3.3247</w:t>
      </w:r>
      <w:r>
        <w:rPr>
          <w:rFonts w:hint="eastAsia" w:ascii="仿宋_GB2312" w:hAnsi="仿宋_GB2312" w:eastAsia="仿宋_GB2312" w:cs="仿宋_GB2312"/>
          <w:sz w:val="32"/>
          <w:szCs w:val="32"/>
          <w:highlight w:val="none"/>
        </w:rPr>
        <w:t>吨二氧化碳当量/公顷的平均水平；扣除全省平均值后，项目区</w:t>
      </w:r>
      <w:r>
        <w:rPr>
          <w:rFonts w:hint="eastAsia" w:ascii="仿宋_GB2312" w:hAnsi="仿宋_GB2312" w:eastAsia="仿宋_GB2312" w:cs="仿宋_GB2312"/>
          <w:sz w:val="32"/>
          <w:szCs w:val="32"/>
          <w:highlight w:val="none"/>
          <w:lang w:val="en-US" w:eastAsia="zh-CN"/>
        </w:rPr>
        <w:t>2011-2014</w:t>
      </w:r>
      <w:r>
        <w:rPr>
          <w:rFonts w:hint="eastAsia" w:ascii="仿宋_GB2312" w:hAnsi="仿宋_GB2312" w:eastAsia="仿宋_GB2312" w:cs="仿宋_GB2312"/>
          <w:sz w:val="32"/>
          <w:szCs w:val="32"/>
          <w:highlight w:val="none"/>
        </w:rPr>
        <w:t>年间共产生林业碳普惠核证减排量</w:t>
      </w:r>
      <w:r>
        <w:rPr>
          <w:rFonts w:hint="eastAsia" w:ascii="仿宋_GB2312" w:hAnsi="仿宋_GB2312" w:eastAsia="仿宋_GB2312" w:cs="仿宋_GB2312"/>
          <w:sz w:val="32"/>
          <w:szCs w:val="32"/>
          <w:highlight w:val="none"/>
          <w:lang w:val="en-US" w:eastAsia="zh-CN"/>
        </w:rPr>
        <w:t>13319</w:t>
      </w:r>
      <w:r>
        <w:rPr>
          <w:rFonts w:hint="eastAsia" w:ascii="仿宋_GB2312" w:hAnsi="仿宋_GB2312" w:eastAsia="仿宋_GB2312" w:cs="仿宋_GB2312"/>
          <w:sz w:val="32"/>
          <w:szCs w:val="32"/>
          <w:highlight w:val="none"/>
        </w:rPr>
        <w:t>吨二氧化碳当量。经省主管部门审核后，上述碳减排量被发放至梯面林场的碳排放权登记账户，可在广东碳市场自由交易。</w:t>
      </w:r>
    </w:p>
    <w:p>
      <w:pPr>
        <w:widowControl w:val="0"/>
        <w:numPr>
          <w:ilvl w:val="0"/>
          <w:numId w:val="0"/>
        </w:numPr>
        <w:wordWrap/>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梯面林场委托广州碳排放权交易所举行了林业碳普惠项目的竞价。根据竞价公告日的前三个自然月广东碳市场配额挂牌价加权平均成交价的80%，确定该项目竞价底价为</w:t>
      </w:r>
      <w:r>
        <w:rPr>
          <w:rFonts w:hint="eastAsia" w:ascii="仿宋_GB2312" w:hAnsi="仿宋_GB2312" w:eastAsia="仿宋_GB2312" w:cs="仿宋_GB2312"/>
          <w:sz w:val="32"/>
          <w:szCs w:val="32"/>
          <w:highlight w:val="none"/>
          <w:lang w:val="en-US" w:eastAsia="zh-CN"/>
        </w:rPr>
        <w:t>12.06</w:t>
      </w:r>
      <w:r>
        <w:rPr>
          <w:rFonts w:hint="eastAsia" w:ascii="仿宋_GB2312" w:hAnsi="仿宋_GB2312" w:eastAsia="仿宋_GB2312" w:cs="仿宋_GB2312"/>
          <w:sz w:val="32"/>
          <w:szCs w:val="32"/>
          <w:highlight w:val="none"/>
        </w:rPr>
        <w:t>元/吨，广州碳排放权交易所内具有自营或公益资质的个人和机构会员都可以自由参与竞价。经统计，共有10家机构和个人会员参加竞价，最终成交价格为17.06元/吨，溢价率超过40%，总成交金额22.72万元，成为广州市首个成功交易的林业碳普惠项目。</w:t>
      </w:r>
      <w:r>
        <w:rPr>
          <w:rFonts w:hint="eastAsia" w:ascii="仿宋_GB2312" w:hAnsi="仿宋_GB2312" w:eastAsia="仿宋_GB2312" w:cs="仿宋_GB2312"/>
          <w:sz w:val="32"/>
          <w:szCs w:val="32"/>
          <w:highlight w:val="none"/>
          <w:lang w:val="en-US" w:eastAsia="zh-CN"/>
        </w:rPr>
        <w:t>最终</w:t>
      </w:r>
      <w:r>
        <w:rPr>
          <w:rFonts w:hint="eastAsia" w:ascii="仿宋_GB2312" w:hAnsi="仿宋_GB2312" w:eastAsia="仿宋_GB2312" w:cs="仿宋_GB2312"/>
          <w:sz w:val="32"/>
          <w:szCs w:val="32"/>
          <w:highlight w:val="none"/>
        </w:rPr>
        <w:t>，该林业碳普惠核证减排量由广州市一家企业购得，并用于抵消其碳排放配额。</w:t>
      </w:r>
    </w:p>
    <w:p>
      <w:pPr>
        <w:widowControl w:val="0"/>
        <w:numPr>
          <w:ilvl w:val="0"/>
          <w:numId w:val="0"/>
        </w:numPr>
        <w:wordWrap/>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目前，广州碳排放权交易所将林业碳普惠减排量抵消机制有效融入林业碳汇的生态补偿机制，实现了碳排放权交易体系、碳普惠制、生态补偿机制的有效结合，并在全省范围推广。同时，实现与精准帮扶有效结合，辐射带动清远、韶关、梅州、河源等地区以绿色金融为主题开展“一市一平台”建设。</w:t>
      </w:r>
    </w:p>
    <w:p>
      <w:pPr>
        <w:widowControl w:val="0"/>
        <w:numPr>
          <w:ilvl w:val="0"/>
          <w:numId w:val="0"/>
        </w:numPr>
        <w:wordWrap/>
        <w:adjustRightInd w:val="0"/>
        <w:snapToGrid w:val="0"/>
        <w:spacing w:line="560" w:lineRule="exact"/>
        <w:ind w:left="0" w:firstLine="640" w:firstLineChars="200"/>
        <w:jc w:val="both"/>
        <w:textAlignment w:val="auto"/>
        <w:rPr>
          <w:rFonts w:ascii="仿宋_GB2312" w:hAnsi="仿宋_GB2312" w:eastAsia="仿宋_GB2312" w:cs="仿宋_GB2312"/>
          <w:b/>
          <w:bCs/>
          <w:sz w:val="32"/>
          <w:szCs w:val="32"/>
          <w:highlight w:val="none"/>
        </w:rPr>
      </w:pPr>
      <w:r>
        <w:rPr>
          <w:rFonts w:hint="eastAsia" w:ascii="黑体" w:hAnsi="黑体" w:eastAsia="黑体" w:cs="黑体"/>
          <w:b w:val="0"/>
          <w:bCs w:val="0"/>
          <w:color w:val="000000"/>
          <w:sz w:val="32"/>
          <w:szCs w:val="32"/>
          <w:highlight w:val="none"/>
          <w:lang w:val="en-US" w:eastAsia="zh-CN"/>
        </w:rPr>
        <w:t>四、创新亮点</w:t>
      </w:r>
    </w:p>
    <w:p>
      <w:pPr>
        <w:pStyle w:val="2"/>
        <w:widowControl w:val="0"/>
        <w:wordWrap/>
        <w:adjustRightInd w:val="0"/>
        <w:snapToGrid w:val="0"/>
        <w:spacing w:line="560" w:lineRule="exact"/>
        <w:ind w:left="0" w:leftChars="0" w:firstLine="640" w:firstLineChars="200"/>
        <w:textAlignment w:val="auto"/>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lang w:val="en-US" w:eastAsia="zh-CN"/>
        </w:rPr>
        <w:t>一是</w:t>
      </w:r>
      <w:r>
        <w:rPr>
          <w:rFonts w:hint="eastAsia" w:ascii="仿宋_GB2312" w:hAnsi="仿宋_GB2312" w:eastAsia="仿宋_GB2312" w:cs="仿宋_GB2312"/>
          <w:b w:val="0"/>
          <w:bCs/>
          <w:color w:val="000000"/>
          <w:sz w:val="32"/>
          <w:szCs w:val="32"/>
          <w:highlight w:val="none"/>
        </w:rPr>
        <w:t>实现碳交易、碳普惠、生态补偿机制的有效结合。基于林业碳汇的生态补偿机制将林业资源产生的减排量有效融入碳市场，实现了碳排放权交易体系、碳普惠制、生态补偿机制的有效结合，在保护绿水青山的同时实现绿色发展收益。</w:t>
      </w:r>
    </w:p>
    <w:p>
      <w:pPr>
        <w:pStyle w:val="2"/>
        <w:widowControl w:val="0"/>
        <w:wordWrap/>
        <w:adjustRightInd w:val="0"/>
        <w:snapToGrid w:val="0"/>
        <w:spacing w:line="560" w:lineRule="exact"/>
        <w:ind w:left="0" w:leftChars="0" w:firstLine="640" w:firstLineChars="200"/>
        <w:textAlignment w:val="auto"/>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lang w:val="en-US" w:eastAsia="zh-CN"/>
        </w:rPr>
        <w:t>二是</w:t>
      </w:r>
      <w:r>
        <w:rPr>
          <w:rFonts w:hint="eastAsia" w:ascii="仿宋_GB2312" w:hAnsi="仿宋_GB2312" w:eastAsia="仿宋_GB2312" w:cs="仿宋_GB2312"/>
          <w:b w:val="0"/>
          <w:bCs/>
          <w:color w:val="000000"/>
          <w:sz w:val="32"/>
          <w:szCs w:val="32"/>
          <w:highlight w:val="none"/>
        </w:rPr>
        <w:t>发挥生态补偿与精准帮扶的协同效应。根据我国的资源分布情况来看，固碳的森林、草地和湿地等大多分布在经济水平相对落后的地区，开发林业碳普惠等项目对实现精准帮扶具有重要的推动作用。基于林业碳汇的生态补偿融入林业碳普惠减排量抵消机制，形成高耗能、高排放地区对经济欠发达生态功能区的市场化长效补偿机制，实现生态补偿与精准帮扶有效结合。</w:t>
      </w:r>
    </w:p>
    <w:p>
      <w:pPr>
        <w:pStyle w:val="2"/>
        <w:widowControl w:val="0"/>
        <w:wordWrap/>
        <w:adjustRightInd w:val="0"/>
        <w:snapToGrid w:val="0"/>
        <w:spacing w:line="560" w:lineRule="exact"/>
        <w:ind w:left="0" w:leftChars="0" w:firstLine="640" w:firstLineChars="200"/>
        <w:textAlignment w:val="auto"/>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lang w:val="en-US" w:eastAsia="zh-CN"/>
        </w:rPr>
        <w:t>三是</w:t>
      </w:r>
      <w:r>
        <w:rPr>
          <w:rFonts w:hint="eastAsia" w:ascii="仿宋_GB2312" w:hAnsi="仿宋_GB2312" w:eastAsia="仿宋_GB2312" w:cs="仿宋_GB2312"/>
          <w:b w:val="0"/>
          <w:bCs/>
          <w:color w:val="000000"/>
          <w:sz w:val="32"/>
          <w:szCs w:val="32"/>
          <w:highlight w:val="none"/>
        </w:rPr>
        <w:t>增强林业资源保护能力。基于林业碳汇的生态补偿机制探索出实现林业生态效益价值化的有效路径，能提升林业经营主体抚育公益林、发展林下经济等林业生产和其他生产经营方面的积极性，减少林业砍伐，有助于增加林业资源保护能力。</w:t>
      </w:r>
    </w:p>
    <w:p>
      <w:pPr>
        <w:widowControl w:val="0"/>
        <w:numPr>
          <w:ilvl w:val="0"/>
          <w:numId w:val="0"/>
        </w:numPr>
        <w:wordWrap/>
        <w:adjustRightInd w:val="0"/>
        <w:snapToGrid w:val="0"/>
        <w:spacing w:line="560" w:lineRule="exact"/>
        <w:ind w:firstLine="640" w:firstLineChars="200"/>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五、推广建议</w:t>
      </w:r>
    </w:p>
    <w:p>
      <w:pPr>
        <w:pStyle w:val="2"/>
        <w:widowControl w:val="0"/>
        <w:wordWrap/>
        <w:adjustRightInd w:val="0"/>
        <w:snapToGrid w:val="0"/>
        <w:spacing w:line="560" w:lineRule="exact"/>
        <w:ind w:left="0" w:leftChars="0" w:firstLine="640" w:firstLineChars="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推广条件方面，该公益林碳普惠（碳汇）项目模式适用于广东省碳普惠制自愿减排体系，项目业主可依托省内林业资源，根据碳普惠制管理政策，结合机制认可的方法学进行项目开发，经第三方机构核证后提交主管部门审批，获得减排量签发后进入市场开展交易，获取交易收益。</w:t>
      </w:r>
    </w:p>
    <w:p>
      <w:pPr>
        <w:pStyle w:val="2"/>
        <w:widowControl w:val="0"/>
        <w:wordWrap/>
        <w:adjustRightInd w:val="0"/>
        <w:snapToGrid w:val="0"/>
        <w:spacing w:line="560" w:lineRule="exact"/>
        <w:ind w:left="0" w:leftChars="0" w:firstLine="64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障碍与制约方面，由于碳普惠制体系下林业碳汇的交易动力主要依托于自愿减排市场对强制碳市场的补充履约机制，即</w:t>
      </w:r>
      <w:r>
        <w:rPr>
          <w:rFonts w:hint="default" w:ascii="仿宋_GB2312" w:hAnsi="仿宋_GB2312" w:eastAsia="仿宋_GB2312" w:cs="仿宋_GB2312"/>
          <w:bCs/>
          <w:color w:val="000000"/>
          <w:sz w:val="32"/>
          <w:szCs w:val="32"/>
          <w:highlight w:val="none"/>
          <w:lang w:val="en-US" w:eastAsia="zh-CN"/>
        </w:rPr>
        <w:t>被允许用于</w:t>
      </w:r>
      <w:r>
        <w:rPr>
          <w:rFonts w:hint="eastAsia" w:ascii="仿宋_GB2312" w:hAnsi="仿宋_GB2312" w:eastAsia="仿宋_GB2312" w:cs="仿宋_GB2312"/>
          <w:bCs/>
          <w:color w:val="000000"/>
          <w:sz w:val="32"/>
          <w:szCs w:val="32"/>
          <w:highlight w:val="none"/>
          <w:lang w:val="en-US" w:eastAsia="zh-CN"/>
        </w:rPr>
        <w:t>碳市场管控</w:t>
      </w:r>
      <w:r>
        <w:rPr>
          <w:rFonts w:hint="default" w:ascii="仿宋_GB2312" w:hAnsi="仿宋_GB2312" w:eastAsia="仿宋_GB2312" w:cs="仿宋_GB2312"/>
          <w:bCs/>
          <w:color w:val="000000"/>
          <w:sz w:val="32"/>
          <w:szCs w:val="32"/>
          <w:highlight w:val="none"/>
          <w:lang w:val="en-US" w:eastAsia="zh-CN"/>
        </w:rPr>
        <w:t>企业履约时抵消</w:t>
      </w:r>
      <w:r>
        <w:rPr>
          <w:rFonts w:hint="eastAsia" w:ascii="仿宋_GB2312" w:hAnsi="仿宋_GB2312" w:eastAsia="仿宋_GB2312" w:cs="仿宋_GB2312"/>
          <w:bCs/>
          <w:color w:val="000000"/>
          <w:sz w:val="32"/>
          <w:szCs w:val="32"/>
          <w:highlight w:val="none"/>
          <w:lang w:val="en-US" w:eastAsia="zh-CN"/>
        </w:rPr>
        <w:t>其</w:t>
      </w:r>
      <w:r>
        <w:rPr>
          <w:rFonts w:hint="default" w:ascii="仿宋_GB2312" w:hAnsi="仿宋_GB2312" w:eastAsia="仿宋_GB2312" w:cs="仿宋_GB2312"/>
          <w:bCs/>
          <w:color w:val="000000"/>
          <w:sz w:val="32"/>
          <w:szCs w:val="32"/>
          <w:highlight w:val="none"/>
          <w:lang w:val="en-US" w:eastAsia="zh-CN"/>
        </w:rPr>
        <w:t>自身碳排放权指标</w:t>
      </w:r>
      <w:r>
        <w:rPr>
          <w:rFonts w:hint="eastAsia" w:ascii="仿宋_GB2312" w:hAnsi="仿宋_GB2312" w:eastAsia="仿宋_GB2312" w:cs="仿宋_GB2312"/>
          <w:bCs/>
          <w:color w:val="000000"/>
          <w:sz w:val="32"/>
          <w:szCs w:val="32"/>
          <w:highlight w:val="none"/>
          <w:lang w:val="en-US" w:eastAsia="zh-CN"/>
        </w:rPr>
        <w:t>，但基于碳市场机制限制，自愿减排产品的抵消比例上限仅为企业需履约碳排放权核定量的10%，导致公益林碳汇项目消纳空间受限，进而影响项目开发规模和推广力度。</w:t>
      </w:r>
    </w:p>
    <w:p>
      <w:pPr>
        <w:widowControl w:val="0"/>
        <w:wordWrap/>
        <w:adjustRightInd w:val="0"/>
        <w:snapToGrid w:val="0"/>
        <w:spacing w:line="560" w:lineRule="exact"/>
        <w:ind w:firstLine="640" w:firstLineChars="20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推广建议方面，一是在强制碳市场之外探索搭建市场化、自愿性的碳汇产品交易体系，与碳普惠机制形成补充，有效扩宽林业碳汇消纳渠道；二是鼓励项目业主、企业和投资机构关注政策，积极参与碳汇市场；三是进一步推动碳普惠制向粤东西北地区倾斜，明确激励和考核机制，推动碳汇产品交易机制与乡村振兴有序融合。</w:t>
      </w:r>
    </w:p>
    <w:p>
      <w:pPr>
        <w:pStyle w:val="2"/>
        <w:rPr>
          <w:rFonts w:hint="eastAsia" w:ascii="楷体" w:hAnsi="楷体" w:eastAsia="楷体" w:cs="楷体"/>
          <w:lang w:val="en-US" w:eastAsia="zh-CN"/>
        </w:rPr>
      </w:pPr>
    </w:p>
    <w:p>
      <w:pPr>
        <w:widowControl w:val="0"/>
        <w:wordWrap/>
        <w:adjustRightInd/>
        <w:snapToGrid/>
        <w:spacing w:line="400" w:lineRule="exact"/>
        <w:ind w:left="0" w:leftChars="0" w:right="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bCs/>
          <w:color w:val="000000"/>
          <w:sz w:val="28"/>
          <w:szCs w:val="28"/>
          <w:highlight w:val="none"/>
          <w:lang w:val="en-US" w:eastAsia="zh-CN"/>
        </w:rPr>
        <w:t>注：更多典型案例，可参见《绿色金融改革创新案例汇编》（中国金融出版社2020年8月版）</w:t>
      </w:r>
    </w:p>
    <w:p>
      <w:bookmarkStart w:id="0" w:name="_GoBack"/>
      <w:bookmarkEnd w:id="0"/>
    </w:p>
    <w:sectPr>
      <w:headerReference r:id="rId3" w:type="default"/>
      <w:footerReference r:id="rId4" w:type="default"/>
      <w:pgSz w:w="11906" w:h="16838"/>
      <w:pgMar w:top="1134" w:right="1803" w:bottom="1134"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60000" w:csb1="00000000"/>
  </w:font>
  <w:font w:name="方正小标宋简体">
    <w:panose1 w:val="03000509000000000000"/>
    <w:charset w:val="86"/>
    <w:family w:val="auto"/>
    <w:pitch w:val="default"/>
    <w:sig w:usb0="00000000" w:usb1="00000000" w:usb2="00000000" w:usb3="00000000" w:csb0="00060000" w:csb1="00000000"/>
  </w:font>
  <w:font w:name="楷体">
    <w:altName w:val="汉仪楷体KW"/>
    <w:panose1 w:val="02010609060101010101"/>
    <w:charset w:val="86"/>
    <w:family w:val="auto"/>
    <w:pitch w:val="default"/>
    <w:sig w:usb0="00000000" w:usb1="00000000" w:usb2="00000016" w:usb3="00000000" w:csb0="00040001" w:csb1="00000000"/>
  </w:font>
  <w:font w:name="方正仿宋_GB2312">
    <w:altName w:val="方正仿宋_GBK"/>
    <w:panose1 w:val="02000000000000000000"/>
    <w:charset w:val="7A"/>
    <w:family w:val="auto"/>
    <w:pitch w:val="default"/>
    <w:sig w:usb0="00000000" w:usb1="00000000"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KW">
    <w:panose1 w:val="0002060004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t>- 1 -</w:t>
                          </w:r>
                          <w:r>
                            <w:rPr>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color="#FFFFFF" filled="f" o:preferrelative="t"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&#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5dblS0AAAAAUBAAAPAAAAAAAAAAEAIAAAADgAAABk&#10;cnMvZG93bnJldi54bWxQSwECFAAUAAAACACHTuJARqR6u78BAACMAwAADgAAAAAAAAABACAAAAA1&#10;AQAAZHJzL2Uyb0RvYy54bWxQSwUGAAAAAAYABgBZAQAAZgUAAAAA&#1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t>- 1 -</w:t>
                    </w:r>
                    <w:r>
                      <w:rPr>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FD561"/>
    <w:multiLevelType w:val="singleLevel"/>
    <w:tmpl w:val="FFBFD5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5F91"/>
    <w:rsid w:val="7FFE5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0"/>
    <w:pPr>
      <w:ind w:left="420" w:leftChars="200"/>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2023-02-06T13:35:00Z</dcterms:created>
  <dc:creator>郭喜儿</dc:creator>
  <cp:lastModifiedBy>郭喜儿</cp:lastModifiedBy>
  <dcterms:modified xsi:type="dcterms:W3CDTF">2023-02-06T13:35:48Z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66318908AD9A30C79B91E063D3A67F58</vt:lpwstr>
  </property>
</Properties>
</file>