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6D22F">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评分标准</w:t>
      </w:r>
    </w:p>
    <w:p w14:paraId="375A1D62">
      <w:pPr>
        <w:widowControl/>
        <w:spacing w:line="300" w:lineRule="auto"/>
        <w:ind w:firstLine="680" w:firstLineChars="200"/>
        <w:rPr>
          <w:rFonts w:hint="eastAsia" w:ascii="仿宋_GB2312" w:hAnsi="仿宋_GB2312" w:eastAsia="仿宋_GB2312" w:cs="仿宋_GB2312"/>
          <w:b w:val="0"/>
          <w:bCs/>
          <w:szCs w:val="21"/>
        </w:rPr>
      </w:pPr>
      <w:r>
        <w:rPr>
          <w:rFonts w:hint="eastAsia" w:ascii="仿宋_GB2312" w:hAnsi="仿宋_GB2312" w:eastAsia="仿宋_GB2312" w:cs="仿宋_GB2312"/>
          <w:b w:val="0"/>
          <w:bCs/>
          <w:sz w:val="34"/>
          <w:szCs w:val="34"/>
        </w:rPr>
        <w:t>对通过符合性审查的投标文件，采用综合评分法：具体分为三个部分（技术分、商务分、价格分），上述分项都按百分制打分，在最终的综合分中按一定的比例进计算。按综合得分由高往低进行排名，综合得分最高者为第一预中标候选人，根据各</w:t>
      </w:r>
      <w:r>
        <w:rPr>
          <w:rFonts w:hint="eastAsia" w:ascii="仿宋_GB2312" w:hAnsi="仿宋_GB2312" w:eastAsia="仿宋_GB2312" w:cs="仿宋_GB2312"/>
          <w:b w:val="0"/>
          <w:bCs/>
          <w:sz w:val="34"/>
          <w:szCs w:val="34"/>
          <w:lang w:eastAsia="zh-CN"/>
        </w:rPr>
        <w:t>投标单位</w:t>
      </w:r>
      <w:r>
        <w:rPr>
          <w:rFonts w:hint="eastAsia" w:ascii="仿宋_GB2312" w:hAnsi="仿宋_GB2312" w:eastAsia="仿宋_GB2312" w:cs="仿宋_GB2312"/>
          <w:b w:val="0"/>
          <w:bCs/>
          <w:sz w:val="34"/>
          <w:szCs w:val="34"/>
        </w:rPr>
        <w:t>综合得分由高至低排出名次，如果综合总分相同，则以报价低的为优先中标的原则确定排名，以此类推，推荐预中标候选人一到三名：</w:t>
      </w:r>
    </w:p>
    <w:p w14:paraId="1725F6F2">
      <w:pPr>
        <w:widowControl/>
        <w:spacing w:line="300" w:lineRule="auto"/>
        <w:rPr>
          <w:rFonts w:hint="eastAsia" w:ascii="仿宋_GB2312" w:hAnsi="仿宋_GB2312" w:eastAsia="仿宋_GB2312" w:cs="仿宋_GB2312"/>
          <w:b w:val="0"/>
          <w:bCs/>
          <w:sz w:val="24"/>
        </w:rPr>
      </w:pPr>
    </w:p>
    <w:p w14:paraId="267F5A30">
      <w:pPr>
        <w:pStyle w:val="6"/>
        <w:spacing w:line="360" w:lineRule="auto"/>
        <w:ind w:left="0" w:leftChars="0" w:firstLine="0" w:firstLineChars="0"/>
        <w:rPr>
          <w:rFonts w:hint="eastAsia" w:ascii="仿宋_GB2312" w:hAnsi="仿宋_GB2312" w:eastAsia="仿宋_GB2312" w:cs="仿宋_GB2312"/>
          <w:b w:val="0"/>
          <w:bCs/>
          <w:kern w:val="0"/>
          <w:sz w:val="34"/>
          <w:szCs w:val="34"/>
        </w:rPr>
      </w:pPr>
      <w:r>
        <w:rPr>
          <w:rFonts w:hint="eastAsia" w:ascii="仿宋_GB2312" w:hAnsi="仿宋_GB2312" w:eastAsia="仿宋_GB2312" w:cs="仿宋_GB2312"/>
          <w:b w:val="0"/>
          <w:bCs/>
          <w:kern w:val="0"/>
          <w:sz w:val="34"/>
          <w:szCs w:val="34"/>
          <w:lang w:val="en-US" w:eastAsia="zh-CN"/>
        </w:rPr>
        <w:t>一、</w:t>
      </w:r>
      <w:r>
        <w:rPr>
          <w:rFonts w:hint="eastAsia" w:ascii="仿宋_GB2312" w:hAnsi="仿宋_GB2312" w:eastAsia="仿宋_GB2312" w:cs="仿宋_GB2312"/>
          <w:b w:val="0"/>
          <w:bCs/>
          <w:kern w:val="0"/>
          <w:sz w:val="34"/>
          <w:szCs w:val="34"/>
        </w:rPr>
        <w:t>本次评标采用</w:t>
      </w:r>
      <w:r>
        <w:rPr>
          <w:rFonts w:hint="eastAsia" w:ascii="仿宋_GB2312" w:hAnsi="仿宋_GB2312" w:eastAsia="仿宋_GB2312" w:cs="仿宋_GB2312"/>
          <w:b w:val="0"/>
          <w:bCs/>
          <w:kern w:val="0"/>
          <w:sz w:val="34"/>
          <w:szCs w:val="34"/>
          <w:u w:val="single"/>
        </w:rPr>
        <w:t>综合评分法</w:t>
      </w:r>
      <w:r>
        <w:rPr>
          <w:rFonts w:hint="eastAsia" w:ascii="仿宋_GB2312" w:hAnsi="仿宋_GB2312" w:eastAsia="仿宋_GB2312" w:cs="仿宋_GB2312"/>
          <w:b w:val="0"/>
          <w:bCs/>
          <w:kern w:val="0"/>
          <w:sz w:val="34"/>
          <w:szCs w:val="34"/>
        </w:rPr>
        <w:t>。</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30" w:type="dxa"/>
          <w:bottom w:w="0" w:type="dxa"/>
          <w:right w:w="30" w:type="dxa"/>
        </w:tblCellMar>
      </w:tblPr>
      <w:tblGrid>
        <w:gridCol w:w="1864"/>
        <w:gridCol w:w="2427"/>
        <w:gridCol w:w="2461"/>
        <w:gridCol w:w="2324"/>
      </w:tblGrid>
      <w:tr w14:paraId="79C296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7" w:type="pct"/>
            <w:tcBorders>
              <w:top w:val="single" w:color="auto" w:sz="12" w:space="0"/>
              <w:bottom w:val="single" w:color="auto" w:sz="2" w:space="0"/>
            </w:tcBorders>
            <w:vAlign w:val="center"/>
          </w:tcPr>
          <w:p w14:paraId="7EB3A6B8">
            <w:pPr>
              <w:autoSpaceDE w:val="0"/>
              <w:autoSpaceDN w:val="0"/>
              <w:adjustRightInd w:val="0"/>
              <w:jc w:val="center"/>
              <w:rPr>
                <w:rFonts w:hint="eastAsia" w:ascii="仿宋_GB2312" w:hAnsi="仿宋_GB2312" w:eastAsia="仿宋_GB2312" w:cs="仿宋_GB2312"/>
                <w:b/>
                <w:bCs w:val="0"/>
                <w:kern w:val="0"/>
                <w:sz w:val="28"/>
                <w:szCs w:val="28"/>
                <w:lang w:val="zh-CN"/>
              </w:rPr>
            </w:pPr>
            <w:r>
              <w:rPr>
                <w:rFonts w:hint="eastAsia" w:ascii="仿宋_GB2312" w:hAnsi="仿宋_GB2312" w:eastAsia="仿宋_GB2312" w:cs="仿宋_GB2312"/>
                <w:b/>
                <w:bCs w:val="0"/>
                <w:kern w:val="0"/>
                <w:sz w:val="28"/>
                <w:szCs w:val="28"/>
                <w:lang w:val="zh-CN"/>
              </w:rPr>
              <w:t>内容</w:t>
            </w:r>
          </w:p>
        </w:tc>
        <w:tc>
          <w:tcPr>
            <w:tcW w:w="1337" w:type="pct"/>
            <w:tcBorders>
              <w:top w:val="single" w:color="auto" w:sz="12" w:space="0"/>
              <w:bottom w:val="single" w:color="auto" w:sz="2" w:space="0"/>
            </w:tcBorders>
            <w:vAlign w:val="center"/>
          </w:tcPr>
          <w:p w14:paraId="4D0FE564">
            <w:pPr>
              <w:autoSpaceDE w:val="0"/>
              <w:autoSpaceDN w:val="0"/>
              <w:adjustRightInd w:val="0"/>
              <w:jc w:val="center"/>
              <w:rPr>
                <w:rFonts w:hint="eastAsia" w:ascii="仿宋_GB2312" w:hAnsi="仿宋_GB2312" w:eastAsia="仿宋_GB2312" w:cs="仿宋_GB2312"/>
                <w:b/>
                <w:bCs w:val="0"/>
                <w:kern w:val="0"/>
                <w:sz w:val="28"/>
                <w:szCs w:val="28"/>
                <w:lang w:val="zh-CN"/>
              </w:rPr>
            </w:pPr>
            <w:r>
              <w:rPr>
                <w:rFonts w:hint="eastAsia" w:ascii="仿宋_GB2312" w:hAnsi="仿宋_GB2312" w:eastAsia="仿宋_GB2312" w:cs="仿宋_GB2312"/>
                <w:b/>
                <w:bCs w:val="0"/>
                <w:kern w:val="0"/>
                <w:sz w:val="28"/>
                <w:szCs w:val="28"/>
                <w:lang w:val="zh-CN"/>
              </w:rPr>
              <w:t>技术部分</w:t>
            </w:r>
          </w:p>
        </w:tc>
        <w:tc>
          <w:tcPr>
            <w:tcW w:w="1356" w:type="pct"/>
            <w:tcBorders>
              <w:top w:val="single" w:color="auto" w:sz="12" w:space="0"/>
              <w:bottom w:val="single" w:color="auto" w:sz="2" w:space="0"/>
            </w:tcBorders>
            <w:vAlign w:val="center"/>
          </w:tcPr>
          <w:p w14:paraId="75E0139A">
            <w:pPr>
              <w:autoSpaceDE w:val="0"/>
              <w:autoSpaceDN w:val="0"/>
              <w:adjustRightInd w:val="0"/>
              <w:jc w:val="center"/>
              <w:rPr>
                <w:rFonts w:hint="eastAsia" w:ascii="仿宋_GB2312" w:hAnsi="仿宋_GB2312" w:eastAsia="仿宋_GB2312" w:cs="仿宋_GB2312"/>
                <w:b/>
                <w:bCs w:val="0"/>
                <w:kern w:val="0"/>
                <w:sz w:val="28"/>
                <w:szCs w:val="28"/>
                <w:lang w:val="zh-CN"/>
              </w:rPr>
            </w:pPr>
            <w:r>
              <w:rPr>
                <w:rFonts w:hint="eastAsia" w:ascii="仿宋_GB2312" w:hAnsi="仿宋_GB2312" w:eastAsia="仿宋_GB2312" w:cs="仿宋_GB2312"/>
                <w:b/>
                <w:bCs w:val="0"/>
                <w:kern w:val="0"/>
                <w:sz w:val="28"/>
                <w:szCs w:val="28"/>
                <w:lang w:val="zh-CN"/>
              </w:rPr>
              <w:t>商务部分</w:t>
            </w:r>
          </w:p>
        </w:tc>
        <w:tc>
          <w:tcPr>
            <w:tcW w:w="1280" w:type="pct"/>
            <w:tcBorders>
              <w:top w:val="single" w:color="auto" w:sz="12" w:space="0"/>
              <w:bottom w:val="single" w:color="auto" w:sz="2" w:space="0"/>
            </w:tcBorders>
            <w:vAlign w:val="center"/>
          </w:tcPr>
          <w:p w14:paraId="305CF8D3">
            <w:pPr>
              <w:autoSpaceDE w:val="0"/>
              <w:autoSpaceDN w:val="0"/>
              <w:adjustRightInd w:val="0"/>
              <w:jc w:val="center"/>
              <w:rPr>
                <w:rFonts w:hint="eastAsia" w:ascii="仿宋_GB2312" w:hAnsi="仿宋_GB2312" w:eastAsia="仿宋_GB2312" w:cs="仿宋_GB2312"/>
                <w:b/>
                <w:bCs w:val="0"/>
                <w:kern w:val="0"/>
                <w:sz w:val="28"/>
                <w:szCs w:val="28"/>
                <w:lang w:val="zh-CN"/>
              </w:rPr>
            </w:pPr>
            <w:r>
              <w:rPr>
                <w:rFonts w:hint="eastAsia" w:ascii="仿宋_GB2312" w:hAnsi="仿宋_GB2312" w:eastAsia="仿宋_GB2312" w:cs="仿宋_GB2312"/>
                <w:b/>
                <w:bCs w:val="0"/>
                <w:kern w:val="0"/>
                <w:sz w:val="28"/>
                <w:szCs w:val="28"/>
                <w:lang w:val="zh-CN"/>
              </w:rPr>
              <w:t>价格部分</w:t>
            </w:r>
          </w:p>
        </w:tc>
      </w:tr>
      <w:tr w14:paraId="52C9CA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7" w:type="pct"/>
            <w:tcBorders>
              <w:top w:val="single" w:color="auto" w:sz="2" w:space="0"/>
            </w:tcBorders>
            <w:vAlign w:val="center"/>
          </w:tcPr>
          <w:p w14:paraId="3913F91A">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权重</w:t>
            </w:r>
          </w:p>
        </w:tc>
        <w:tc>
          <w:tcPr>
            <w:tcW w:w="1337" w:type="pct"/>
            <w:tcBorders>
              <w:top w:val="single" w:color="auto" w:sz="2" w:space="0"/>
            </w:tcBorders>
            <w:vAlign w:val="center"/>
          </w:tcPr>
          <w:p w14:paraId="4E481D35">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60%</w:t>
            </w:r>
          </w:p>
        </w:tc>
        <w:tc>
          <w:tcPr>
            <w:tcW w:w="1356" w:type="pct"/>
            <w:tcBorders>
              <w:top w:val="single" w:color="auto" w:sz="2" w:space="0"/>
            </w:tcBorders>
            <w:vAlign w:val="center"/>
          </w:tcPr>
          <w:p w14:paraId="3F954E06">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20%</w:t>
            </w:r>
          </w:p>
        </w:tc>
        <w:tc>
          <w:tcPr>
            <w:tcW w:w="1280" w:type="pct"/>
            <w:tcBorders>
              <w:top w:val="single" w:color="auto" w:sz="2" w:space="0"/>
            </w:tcBorders>
            <w:vAlign w:val="center"/>
          </w:tcPr>
          <w:p w14:paraId="5DDF18DD">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20%</w:t>
            </w:r>
          </w:p>
        </w:tc>
      </w:tr>
      <w:tr w14:paraId="4A2DC4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7" w:type="pct"/>
            <w:vAlign w:val="center"/>
          </w:tcPr>
          <w:p w14:paraId="226D3FA6">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分值</w:t>
            </w:r>
          </w:p>
        </w:tc>
        <w:tc>
          <w:tcPr>
            <w:tcW w:w="1337" w:type="pct"/>
            <w:vAlign w:val="center"/>
          </w:tcPr>
          <w:p w14:paraId="542F7967">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60分</w:t>
            </w:r>
          </w:p>
        </w:tc>
        <w:tc>
          <w:tcPr>
            <w:tcW w:w="1356" w:type="pct"/>
            <w:vAlign w:val="center"/>
          </w:tcPr>
          <w:p w14:paraId="3C5143CD">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20分</w:t>
            </w:r>
          </w:p>
        </w:tc>
        <w:tc>
          <w:tcPr>
            <w:tcW w:w="1280" w:type="pct"/>
            <w:vAlign w:val="center"/>
          </w:tcPr>
          <w:p w14:paraId="14A2F215">
            <w:pPr>
              <w:autoSpaceDE w:val="0"/>
              <w:autoSpaceDN w:val="0"/>
              <w:adjustRightInd w:val="0"/>
              <w:jc w:val="center"/>
              <w:rPr>
                <w:rFonts w:hint="eastAsia" w:ascii="仿宋_GB2312" w:hAnsi="仿宋_GB2312" w:eastAsia="仿宋_GB2312" w:cs="仿宋_GB2312"/>
                <w:b w:val="0"/>
                <w:bCs/>
                <w:kern w:val="0"/>
                <w:sz w:val="28"/>
                <w:szCs w:val="28"/>
                <w:lang w:val="zh-CN"/>
              </w:rPr>
            </w:pPr>
            <w:r>
              <w:rPr>
                <w:rFonts w:hint="eastAsia" w:ascii="仿宋_GB2312" w:hAnsi="仿宋_GB2312" w:eastAsia="仿宋_GB2312" w:cs="仿宋_GB2312"/>
                <w:b w:val="0"/>
                <w:bCs/>
                <w:kern w:val="0"/>
                <w:sz w:val="28"/>
                <w:szCs w:val="28"/>
                <w:lang w:val="zh-CN"/>
              </w:rPr>
              <w:t>20分</w:t>
            </w:r>
          </w:p>
        </w:tc>
      </w:tr>
    </w:tbl>
    <w:p w14:paraId="58DC31E5">
      <w:pPr>
        <w:pStyle w:val="6"/>
        <w:spacing w:line="360" w:lineRule="auto"/>
        <w:ind w:firstLine="0"/>
        <w:rPr>
          <w:rFonts w:hint="eastAsia" w:ascii="仿宋_GB2312" w:hAnsi="仿宋_GB2312" w:eastAsia="仿宋_GB2312" w:cs="仿宋_GB2312"/>
          <w:b w:val="0"/>
          <w:bCs/>
          <w:kern w:val="0"/>
          <w:szCs w:val="21"/>
        </w:rPr>
      </w:pPr>
    </w:p>
    <w:p w14:paraId="3ACFA781">
      <w:pPr>
        <w:pStyle w:val="6"/>
        <w:spacing w:line="360" w:lineRule="auto"/>
        <w:ind w:left="0" w:leftChars="0" w:firstLine="0" w:firstLineChars="0"/>
        <w:rPr>
          <w:rFonts w:hint="eastAsia" w:ascii="仿宋_GB2312" w:hAnsi="仿宋_GB2312" w:eastAsia="仿宋_GB2312" w:cs="仿宋_GB2312"/>
          <w:b w:val="0"/>
          <w:bCs/>
          <w:kern w:val="0"/>
          <w:sz w:val="34"/>
          <w:szCs w:val="34"/>
        </w:rPr>
      </w:pPr>
      <w:r>
        <w:rPr>
          <w:rFonts w:hint="eastAsia" w:ascii="仿宋_GB2312" w:hAnsi="仿宋_GB2312" w:eastAsia="仿宋_GB2312" w:cs="仿宋_GB2312"/>
          <w:b w:val="0"/>
          <w:bCs/>
          <w:kern w:val="0"/>
          <w:sz w:val="34"/>
          <w:szCs w:val="34"/>
          <w:lang w:val="en-US" w:eastAsia="zh-CN"/>
        </w:rPr>
        <w:t>二、</w:t>
      </w:r>
      <w:r>
        <w:rPr>
          <w:rFonts w:hint="eastAsia" w:ascii="仿宋_GB2312" w:hAnsi="仿宋_GB2312" w:eastAsia="仿宋_GB2312" w:cs="仿宋_GB2312"/>
          <w:b w:val="0"/>
          <w:bCs/>
          <w:kern w:val="0"/>
          <w:sz w:val="34"/>
          <w:szCs w:val="34"/>
        </w:rPr>
        <w:t>量化评审内容如下：</w:t>
      </w:r>
    </w:p>
    <w:p w14:paraId="5556C42D">
      <w:pPr>
        <w:pStyle w:val="5"/>
        <w:numPr>
          <w:ilvl w:val="3"/>
          <w:numId w:val="0"/>
        </w:numPr>
        <w:ind w:leftChars="0"/>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lang w:val="en-US" w:eastAsia="zh-CN"/>
        </w:rPr>
        <w:t>1.</w:t>
      </w:r>
      <w:r>
        <w:rPr>
          <w:rFonts w:hint="eastAsia" w:ascii="仿宋_GB2312" w:hAnsi="仿宋_GB2312" w:eastAsia="仿宋_GB2312" w:cs="仿宋_GB2312"/>
          <w:b w:val="0"/>
          <w:bCs/>
          <w:sz w:val="34"/>
          <w:szCs w:val="34"/>
        </w:rPr>
        <w:t>技术评分标准（60分）</w:t>
      </w:r>
    </w:p>
    <w:tbl>
      <w:tblPr>
        <w:tblStyle w:val="9"/>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5783"/>
        <w:gridCol w:w="1134"/>
        <w:gridCol w:w="709"/>
      </w:tblGrid>
      <w:tr w14:paraId="6FFC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7CB0D5A0">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序号</w:t>
            </w:r>
          </w:p>
        </w:tc>
        <w:tc>
          <w:tcPr>
            <w:tcW w:w="6775" w:type="dxa"/>
            <w:gridSpan w:val="2"/>
            <w:vAlign w:val="center"/>
          </w:tcPr>
          <w:p w14:paraId="27004ED1">
            <w:pPr>
              <w:widowControl/>
              <w:spacing w:line="360" w:lineRule="auto"/>
              <w:ind w:firstLine="480" w:firstLineChars="200"/>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具体项目</w:t>
            </w:r>
          </w:p>
        </w:tc>
        <w:tc>
          <w:tcPr>
            <w:tcW w:w="1134" w:type="dxa"/>
            <w:vAlign w:val="center"/>
          </w:tcPr>
          <w:p w14:paraId="51DC6CC9">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评分要求</w:t>
            </w:r>
          </w:p>
        </w:tc>
        <w:tc>
          <w:tcPr>
            <w:tcW w:w="709" w:type="dxa"/>
            <w:vAlign w:val="center"/>
          </w:tcPr>
          <w:p w14:paraId="10463217">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分值</w:t>
            </w:r>
          </w:p>
        </w:tc>
      </w:tr>
      <w:tr w14:paraId="1221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restart"/>
            <w:vAlign w:val="center"/>
          </w:tcPr>
          <w:p w14:paraId="6066855E">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1</w:t>
            </w:r>
          </w:p>
        </w:tc>
        <w:tc>
          <w:tcPr>
            <w:tcW w:w="992" w:type="dxa"/>
            <w:vMerge w:val="restart"/>
            <w:vAlign w:val="center"/>
          </w:tcPr>
          <w:p w14:paraId="335453A0">
            <w:pPr>
              <w:widowControl/>
              <w:spacing w:line="360" w:lineRule="auto"/>
              <w:ind w:firstLine="240" w:firstLineChars="100"/>
              <w:rPr>
                <w:rFonts w:hint="eastAsia" w:ascii="仿宋_GB2312" w:hAnsi="仿宋_GB2312" w:eastAsia="仿宋_GB2312" w:cs="仿宋_GB2312"/>
                <w:b w:val="0"/>
                <w:bCs/>
                <w:color w:val="000000" w:themeColor="text1"/>
                <w:sz w:val="24"/>
                <w:szCs w:val="24"/>
                <w14:textFill>
                  <w14:solidFill>
                    <w14:schemeClr w14:val="tx1"/>
                  </w14:solidFill>
                </w14:textFill>
              </w:rPr>
            </w:pPr>
            <w:bookmarkStart w:id="0" w:name="OLE_LINK17"/>
            <w:r>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t>安全服务工具和系统技术</w:t>
            </w:r>
            <w:r>
              <w:rPr>
                <w:rFonts w:hint="eastAsia" w:ascii="仿宋_GB2312" w:hAnsi="仿宋_GB2312" w:eastAsia="仿宋_GB2312" w:cs="仿宋_GB2312"/>
                <w:b w:val="0"/>
                <w:bCs/>
                <w:color w:val="000000" w:themeColor="text1"/>
                <w:kern w:val="0"/>
                <w:sz w:val="24"/>
                <w:szCs w:val="24"/>
                <w:lang w:bidi="ar"/>
                <w14:textFill>
                  <w14:solidFill>
                    <w14:schemeClr w14:val="tx1"/>
                  </w14:solidFill>
                </w14:textFill>
              </w:rPr>
              <w:t>参数要求</w:t>
            </w:r>
            <w:bookmarkEnd w:id="0"/>
            <w:r>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t>（允许多系统组合）</w:t>
            </w:r>
          </w:p>
        </w:tc>
        <w:tc>
          <w:tcPr>
            <w:tcW w:w="5783" w:type="dxa"/>
            <w:vAlign w:val="center"/>
          </w:tcPr>
          <w:p w14:paraId="4DEFD53B">
            <w:pPr>
              <w:spacing w:line="360" w:lineRule="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1)支持面向集团主体及其下属分子公司的自动化资产发现，并将各资产自动归类至对应分子公司</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c>
          <w:tcPr>
            <w:tcW w:w="1134" w:type="dxa"/>
            <w:vMerge w:val="restart"/>
            <w:vAlign w:val="center"/>
          </w:tcPr>
          <w:p w14:paraId="4CF09C91">
            <w:pPr>
              <w:widowControl/>
              <w:jc w:val="cente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需要提供盖章确认的产品界面截图证明</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p>
        </w:tc>
        <w:tc>
          <w:tcPr>
            <w:tcW w:w="709" w:type="dxa"/>
            <w:vAlign w:val="center"/>
          </w:tcPr>
          <w:p w14:paraId="48144E42">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r>
      <w:tr w14:paraId="03CD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continue"/>
            <w:vAlign w:val="center"/>
          </w:tcPr>
          <w:p w14:paraId="5DC5D782">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5F75C356">
            <w:pPr>
              <w:widowControl/>
              <w:spacing w:line="360" w:lineRule="auto"/>
              <w:ind w:firstLine="240" w:firstLineChars="100"/>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pPr>
          </w:p>
        </w:tc>
        <w:tc>
          <w:tcPr>
            <w:tcW w:w="5783" w:type="dxa"/>
            <w:vAlign w:val="center"/>
          </w:tcPr>
          <w:p w14:paraId="5BF180B5">
            <w:pPr>
              <w:spacing w:line="360" w:lineRule="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24"/>
                <w:szCs w:val="24"/>
                <w14:textFill>
                  <w14:solidFill>
                    <w14:schemeClr w14:val="tx1"/>
                  </w14:solidFill>
                </w14:textFill>
              </w:rPr>
              <w:t>支持资产梳理识别，资产识别内容包含不限于：IP、子域名、URL、开放端口、协议、服务应用、HTTP响应码、网站标题、IP地理位置、网站证书、域名备案单位、数据更新时间等，提供IP域名资产清单</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c>
          <w:tcPr>
            <w:tcW w:w="1134" w:type="dxa"/>
            <w:vMerge w:val="continue"/>
            <w:vAlign w:val="center"/>
          </w:tcPr>
          <w:p w14:paraId="6F239661">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52A99E48">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r>
      <w:tr w14:paraId="09FD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continue"/>
            <w:vAlign w:val="center"/>
          </w:tcPr>
          <w:p w14:paraId="237C47A2">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48A363E3">
            <w:pPr>
              <w:widowControl/>
              <w:spacing w:line="360" w:lineRule="auto"/>
              <w:ind w:firstLine="240" w:firstLineChars="100"/>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pPr>
          </w:p>
        </w:tc>
        <w:tc>
          <w:tcPr>
            <w:tcW w:w="5783" w:type="dxa"/>
            <w:vAlign w:val="center"/>
          </w:tcPr>
          <w:p w14:paraId="5095B0CA">
            <w:pPr>
              <w:spacing w:line="360" w:lineRule="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24"/>
                <w:szCs w:val="24"/>
                <w14:textFill>
                  <w14:solidFill>
                    <w14:schemeClr w14:val="tx1"/>
                  </w14:solidFill>
                </w14:textFill>
              </w:rPr>
              <w:t>支持发现互联网侧资产上高危端口的暴露情况，如3389、1521、3306等高危敏感端口、telnet、rdp等高危敏感服务等，同时支持高危端口自定义，支持一键快捷筛选高危端口；</w:t>
            </w:r>
          </w:p>
        </w:tc>
        <w:tc>
          <w:tcPr>
            <w:tcW w:w="1134" w:type="dxa"/>
            <w:vMerge w:val="continue"/>
            <w:vAlign w:val="center"/>
          </w:tcPr>
          <w:p w14:paraId="19EAD2D2">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184525A7">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r>
      <w:tr w14:paraId="6D66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continue"/>
            <w:vAlign w:val="center"/>
          </w:tcPr>
          <w:p w14:paraId="10C29EDF">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0B93203E">
            <w:pPr>
              <w:widowControl/>
              <w:spacing w:line="360" w:lineRule="auto"/>
              <w:ind w:firstLine="240" w:firstLineChars="100"/>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pPr>
          </w:p>
        </w:tc>
        <w:tc>
          <w:tcPr>
            <w:tcW w:w="5783" w:type="dxa"/>
            <w:vAlign w:val="center"/>
          </w:tcPr>
          <w:p w14:paraId="6B887875">
            <w:pPr>
              <w:spacing w:line="360" w:lineRule="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rPr>
              <w:t>支</w:t>
            </w:r>
            <w:r>
              <w:rPr>
                <w:rFonts w:hint="eastAsia" w:ascii="仿宋_GB2312" w:hAnsi="仿宋_GB2312" w:eastAsia="仿宋_GB2312" w:cs="仿宋_GB2312"/>
                <w:bCs/>
                <w:color w:val="000000" w:themeColor="text1"/>
                <w:kern w:val="0"/>
                <w:sz w:val="24"/>
                <w:szCs w:val="24"/>
                <w14:textFill>
                  <w14:solidFill>
                    <w14:schemeClr w14:val="tx1"/>
                  </w14:solidFill>
                </w14:textFill>
              </w:rPr>
              <w:t>持</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不少于20</w:t>
            </w:r>
            <w:r>
              <w:rPr>
                <w:rFonts w:hint="eastAsia" w:ascii="仿宋_GB2312" w:hAnsi="仿宋_GB2312" w:eastAsia="仿宋_GB2312" w:cs="仿宋_GB2312"/>
                <w:bCs/>
                <w:color w:val="000000" w:themeColor="text1"/>
                <w:kern w:val="0"/>
                <w:sz w:val="24"/>
                <w:szCs w:val="24"/>
                <w14:textFill>
                  <w14:solidFill>
                    <w14:schemeClr w14:val="tx1"/>
                  </w14:solidFill>
                </w14:textFill>
              </w:rPr>
              <w:t>种协议</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弱</w:t>
            </w:r>
            <w:r>
              <w:rPr>
                <w:rFonts w:hint="eastAsia" w:ascii="仿宋_GB2312" w:hAnsi="仿宋_GB2312" w:eastAsia="仿宋_GB2312" w:cs="仿宋_GB2312"/>
                <w:bCs/>
                <w:color w:val="000000" w:themeColor="text1"/>
                <w:kern w:val="0"/>
                <w:sz w:val="24"/>
                <w:szCs w:val="24"/>
                <w14:textFill>
                  <w14:solidFill>
                    <w14:schemeClr w14:val="tx1"/>
                  </w14:solidFill>
                </w14:textFill>
              </w:rPr>
              <w:t>口令</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检测</w:t>
            </w:r>
            <w:r>
              <w:rPr>
                <w:rFonts w:hint="eastAsia" w:ascii="仿宋_GB2312" w:hAnsi="仿宋_GB2312" w:eastAsia="仿宋_GB2312" w:cs="仿宋_GB2312"/>
                <w:bCs/>
                <w:color w:val="000000" w:themeColor="text1"/>
                <w:kern w:val="0"/>
                <w:sz w:val="24"/>
                <w:szCs w:val="24"/>
                <w14:textFill>
                  <w14:solidFill>
                    <w14:schemeClr w14:val="tx1"/>
                  </w14:solidFill>
                </w14:textFill>
              </w:rPr>
              <w:t>，包含但不限于：ZooKeeper弱口令、ApacheTomcat弱口令、Openssh弱口令、Spark弱口令、Solr弱口令、Smb弱口令、WindowsRdp弱口令、Cassandra弱口令、SqlServer弱口令、MongoDB弱口令、Memcached弱口、JBoss弱口令、InfluxDB弱口令、Hadoop弱口令、ElasticSearch弱口令、ClickHouse弱口令；</w:t>
            </w:r>
          </w:p>
        </w:tc>
        <w:tc>
          <w:tcPr>
            <w:tcW w:w="1134" w:type="dxa"/>
            <w:vMerge w:val="continue"/>
            <w:vAlign w:val="center"/>
          </w:tcPr>
          <w:p w14:paraId="7F2DAAF7">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50D44146">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r>
      <w:tr w14:paraId="3A8A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738" w:type="dxa"/>
            <w:vMerge w:val="continue"/>
            <w:vAlign w:val="center"/>
          </w:tcPr>
          <w:p w14:paraId="32F678DB">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6B766B3D">
            <w:pPr>
              <w:widowControl/>
              <w:spacing w:line="360" w:lineRule="auto"/>
              <w:ind w:firstLine="240" w:firstLineChars="100"/>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pPr>
          </w:p>
        </w:tc>
        <w:tc>
          <w:tcPr>
            <w:tcW w:w="5783" w:type="dxa"/>
            <w:vAlign w:val="center"/>
          </w:tcPr>
          <w:p w14:paraId="0900EDDD">
            <w:pPr>
              <w:spacing w:line="360" w:lineRule="auto"/>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bCs/>
                <w:color w:val="auto"/>
                <w:kern w:val="0"/>
                <w:sz w:val="24"/>
                <w:szCs w:val="24"/>
                <w:lang w:val="en-US" w:eastAsia="zh-CN"/>
              </w:rPr>
              <w:t>包含</w:t>
            </w:r>
            <w:r>
              <w:rPr>
                <w:rFonts w:hint="eastAsia" w:ascii="仿宋_GB2312" w:hAnsi="仿宋_GB2312" w:eastAsia="仿宋_GB2312" w:cs="仿宋_GB2312"/>
                <w:bCs/>
                <w:color w:val="auto"/>
                <w:kern w:val="0"/>
                <w:sz w:val="24"/>
                <w:szCs w:val="24"/>
              </w:rPr>
              <w:t xml:space="preserve">丰富的攻防工具集， </w:t>
            </w:r>
            <w:r>
              <w:rPr>
                <w:rFonts w:hint="eastAsia" w:ascii="仿宋_GB2312" w:hAnsi="仿宋_GB2312" w:eastAsia="仿宋_GB2312" w:cs="仿宋_GB2312"/>
                <w:bCs/>
                <w:color w:val="auto"/>
                <w:kern w:val="0"/>
                <w:sz w:val="24"/>
                <w:szCs w:val="24"/>
                <w:lang w:val="en-US" w:eastAsia="zh-CN"/>
              </w:rPr>
              <w:t>包括但不限于</w:t>
            </w:r>
            <w:r>
              <w:rPr>
                <w:rFonts w:hint="eastAsia" w:ascii="仿宋_GB2312" w:hAnsi="仿宋_GB2312" w:eastAsia="仿宋_GB2312" w:cs="仿宋_GB2312"/>
                <w:bCs/>
                <w:color w:val="auto"/>
                <w:kern w:val="0"/>
                <w:sz w:val="24"/>
                <w:szCs w:val="24"/>
              </w:rPr>
              <w:t>漏洞探测、漏洞扫描、渗透测试、</w:t>
            </w:r>
            <w:r>
              <w:rPr>
                <w:rFonts w:hint="eastAsia" w:ascii="仿宋_GB2312" w:hAnsi="仿宋_GB2312" w:eastAsia="仿宋_GB2312" w:cs="仿宋_GB2312"/>
                <w:color w:val="auto"/>
                <w:sz w:val="24"/>
                <w:szCs w:val="24"/>
              </w:rPr>
              <w:t>反编译、图片隐写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kern w:val="0"/>
                <w:sz w:val="24"/>
                <w:szCs w:val="24"/>
              </w:rPr>
              <w:t>逆向工程</w:t>
            </w:r>
            <w:r>
              <w:rPr>
                <w:rFonts w:hint="eastAsia" w:ascii="仿宋_GB2312" w:hAnsi="仿宋_GB2312" w:eastAsia="仿宋_GB2312" w:cs="仿宋_GB2312"/>
                <w:bCs/>
                <w:color w:val="auto"/>
                <w:kern w:val="0"/>
                <w:sz w:val="24"/>
                <w:szCs w:val="24"/>
                <w:lang w:eastAsia="zh-CN"/>
              </w:rPr>
              <w:t>、</w:t>
            </w:r>
            <w:r>
              <w:rPr>
                <w:rFonts w:hint="eastAsia" w:ascii="仿宋_GB2312" w:hAnsi="仿宋_GB2312" w:eastAsia="仿宋_GB2312" w:cs="仿宋_GB2312"/>
                <w:color w:val="auto"/>
                <w:sz w:val="24"/>
                <w:szCs w:val="24"/>
              </w:rPr>
              <w:t>SQL注入</w:t>
            </w:r>
            <w:r>
              <w:rPr>
                <w:rFonts w:hint="eastAsia" w:ascii="仿宋_GB2312" w:hAnsi="仿宋_GB2312" w:eastAsia="仿宋_GB2312" w:cs="仿宋_GB2312"/>
                <w:bCs/>
                <w:color w:val="auto"/>
                <w:kern w:val="0"/>
                <w:sz w:val="24"/>
                <w:szCs w:val="24"/>
              </w:rPr>
              <w:t>、密码破解</w:t>
            </w:r>
            <w:r>
              <w:rPr>
                <w:rFonts w:hint="eastAsia" w:ascii="仿宋_GB2312" w:hAnsi="仿宋_GB2312" w:eastAsia="仿宋_GB2312" w:cs="仿宋_GB2312"/>
                <w:color w:val="auto"/>
                <w:sz w:val="24"/>
                <w:szCs w:val="24"/>
              </w:rPr>
              <w:t>、编码转换、溢出提权</w:t>
            </w:r>
            <w:r>
              <w:rPr>
                <w:rFonts w:hint="eastAsia" w:ascii="仿宋_GB2312" w:hAnsi="仿宋_GB2312" w:eastAsia="仿宋_GB2312" w:cs="仿宋_GB2312"/>
                <w:bCs/>
                <w:color w:val="auto"/>
                <w:kern w:val="0"/>
                <w:sz w:val="24"/>
                <w:szCs w:val="24"/>
              </w:rPr>
              <w:t>等类型</w:t>
            </w:r>
            <w:r>
              <w:rPr>
                <w:rFonts w:hint="eastAsia" w:ascii="仿宋_GB2312" w:hAnsi="仿宋_GB2312" w:eastAsia="仿宋_GB2312" w:cs="仿宋_GB2312"/>
                <w:bCs/>
                <w:color w:val="auto"/>
                <w:kern w:val="0"/>
                <w:sz w:val="24"/>
                <w:szCs w:val="24"/>
                <w:lang w:eastAsia="zh-CN"/>
              </w:rPr>
              <w:t>；</w:t>
            </w:r>
          </w:p>
        </w:tc>
        <w:tc>
          <w:tcPr>
            <w:tcW w:w="1134" w:type="dxa"/>
            <w:vMerge w:val="continue"/>
            <w:vAlign w:val="center"/>
          </w:tcPr>
          <w:p w14:paraId="53C2D085">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226D849B">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r>
      <w:tr w14:paraId="4B91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continue"/>
            <w:vAlign w:val="center"/>
          </w:tcPr>
          <w:p w14:paraId="3391C3AF">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655F5155">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5783" w:type="dxa"/>
            <w:vAlign w:val="center"/>
          </w:tcPr>
          <w:p w14:paraId="46030623">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支持</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钓鱼邮件模拟攻击功能，包括钓鱼邮件模板、发送目标、发送策略等参数，以执行模拟钓鱼攻击演练</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w:t>
            </w:r>
          </w:p>
        </w:tc>
        <w:tc>
          <w:tcPr>
            <w:tcW w:w="1134" w:type="dxa"/>
            <w:vMerge w:val="continue"/>
            <w:vAlign w:val="center"/>
          </w:tcPr>
          <w:p w14:paraId="6F7D1A55">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1D89C29C">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4</w:t>
            </w:r>
          </w:p>
        </w:tc>
      </w:tr>
      <w:tr w14:paraId="0EBB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8" w:type="dxa"/>
            <w:vMerge w:val="continue"/>
            <w:vAlign w:val="center"/>
          </w:tcPr>
          <w:p w14:paraId="60C24423">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992" w:type="dxa"/>
            <w:vMerge w:val="continue"/>
            <w:vAlign w:val="center"/>
          </w:tcPr>
          <w:p w14:paraId="43448CD2">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5783" w:type="dxa"/>
            <w:vAlign w:val="center"/>
          </w:tcPr>
          <w:p w14:paraId="1904CC72">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7）提供</w:t>
            </w:r>
            <w:r>
              <w:rPr>
                <w:rFonts w:hint="eastAsia" w:ascii="仿宋_GB2312" w:hAnsi="仿宋_GB2312" w:eastAsia="仿宋_GB2312" w:cs="仿宋_GB2312"/>
                <w:sz w:val="24"/>
                <w:szCs w:val="24"/>
              </w:rPr>
              <w:t>攻防演练平台产品支撑本次</w:t>
            </w:r>
            <w:r>
              <w:rPr>
                <w:rFonts w:hint="eastAsia" w:ascii="仿宋_GB2312" w:hAnsi="仿宋_GB2312" w:eastAsia="仿宋_GB2312" w:cs="仿宋_GB2312"/>
                <w:sz w:val="24"/>
                <w:szCs w:val="24"/>
                <w:lang w:val="en-US" w:eastAsia="zh-CN"/>
              </w:rPr>
              <w:t>应急预案检测</w:t>
            </w:r>
            <w:r>
              <w:rPr>
                <w:rFonts w:hint="eastAsia" w:ascii="仿宋_GB2312" w:hAnsi="仿宋_GB2312" w:eastAsia="仿宋_GB2312" w:cs="仿宋_GB2312"/>
                <w:sz w:val="24"/>
                <w:szCs w:val="24"/>
              </w:rPr>
              <w:t>演练，功能包含资源配置、报告递交、裁判评审、管理后台等模块，通过界面进行展示。</w:t>
            </w:r>
            <w:r>
              <w:rPr>
                <w:rFonts w:hint="eastAsia" w:ascii="仿宋_GB2312" w:hAnsi="仿宋_GB2312" w:eastAsia="仿宋_GB2312" w:cs="仿宋_GB2312"/>
                <w:sz w:val="24"/>
                <w:szCs w:val="24"/>
                <w:lang w:val="en-US" w:eastAsia="zh-CN"/>
              </w:rPr>
              <w:t>检测</w:t>
            </w:r>
            <w:r>
              <w:rPr>
                <w:rFonts w:hint="eastAsia" w:ascii="仿宋_GB2312" w:hAnsi="仿宋_GB2312" w:eastAsia="仿宋_GB2312" w:cs="仿宋_GB2312"/>
                <w:sz w:val="24"/>
                <w:szCs w:val="24"/>
              </w:rPr>
              <w:t>队通过平台授权相关攻击出口IP资源，及攻击跳板机资源进行攻击,所有攻击队员需通过Web页面的方式进行操作,在获得攻击成果后，进行平台报告递交。防守方通过自行监测手段,对攻击方的攻击行为开展监测,将监测数据上报至平台。裁判及专家将对报告进行审核研判管理等相关工作。确保所有流程可控，所有行为可追溯</w:t>
            </w:r>
            <w:r>
              <w:rPr>
                <w:rFonts w:hint="eastAsia" w:ascii="仿宋_GB2312" w:hAnsi="仿宋_GB2312" w:eastAsia="仿宋_GB2312" w:cs="仿宋_GB2312"/>
                <w:sz w:val="24"/>
                <w:szCs w:val="24"/>
                <w:lang w:eastAsia="zh-CN"/>
              </w:rPr>
              <w:t>；</w:t>
            </w:r>
          </w:p>
        </w:tc>
        <w:tc>
          <w:tcPr>
            <w:tcW w:w="1134" w:type="dxa"/>
            <w:vMerge w:val="continue"/>
            <w:vAlign w:val="center"/>
          </w:tcPr>
          <w:p w14:paraId="10C7FE81">
            <w:pPr>
              <w:widowControl/>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p>
        </w:tc>
        <w:tc>
          <w:tcPr>
            <w:tcW w:w="709" w:type="dxa"/>
            <w:vAlign w:val="center"/>
          </w:tcPr>
          <w:p w14:paraId="3E6EC61D">
            <w:pPr>
              <w:spacing w:line="360" w:lineRule="auto"/>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6</w:t>
            </w:r>
          </w:p>
        </w:tc>
      </w:tr>
      <w:tr w14:paraId="2862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38" w:type="dxa"/>
            <w:vAlign w:val="center"/>
          </w:tcPr>
          <w:p w14:paraId="53CAA309">
            <w:pPr>
              <w:widowControl/>
              <w:spacing w:line="360" w:lineRule="auto"/>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p>
        </w:tc>
        <w:tc>
          <w:tcPr>
            <w:tcW w:w="992" w:type="dxa"/>
            <w:vAlign w:val="center"/>
          </w:tcPr>
          <w:p w14:paraId="31038238">
            <w:pPr>
              <w:widowControl/>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获奖情况</w:t>
            </w:r>
          </w:p>
        </w:tc>
        <w:tc>
          <w:tcPr>
            <w:tcW w:w="5783" w:type="dxa"/>
            <w:vAlign w:val="center"/>
          </w:tcPr>
          <w:p w14:paraId="22174C83">
            <w:pPr>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投标单位或者安全服务团队（投标单位代理的安全服务厂商指定服务团队）最近3年</w:t>
            </w:r>
            <w:r>
              <w:rPr>
                <w:rFonts w:hint="eastAsia" w:ascii="仿宋_GB2312" w:hAnsi="仿宋_GB2312" w:eastAsia="仿宋_GB2312" w:cs="仿宋_GB2312"/>
                <w:color w:val="auto"/>
                <w:sz w:val="24"/>
                <w:szCs w:val="24"/>
              </w:rPr>
              <w:t>参与国家/省级网络攻防演习活动，获得优秀或最佳攻击队伍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每次加2分</w:t>
            </w:r>
            <w:r>
              <w:rPr>
                <w:rFonts w:hint="eastAsia" w:ascii="仿宋_GB2312" w:hAnsi="仿宋_GB2312" w:eastAsia="仿宋_GB2312" w:cs="仿宋_GB2312"/>
                <w:color w:val="auto"/>
                <w:sz w:val="24"/>
                <w:szCs w:val="24"/>
                <w:lang w:eastAsia="zh-CN"/>
              </w:rPr>
              <w:t>；</w:t>
            </w:r>
          </w:p>
          <w:p w14:paraId="28C5ED48">
            <w:pPr>
              <w:spacing w:line="36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最近3年参加国家/省级攻防大赛，获得前十名次，每次加2分；</w:t>
            </w:r>
          </w:p>
          <w:p w14:paraId="107E57F8">
            <w:pPr>
              <w:spacing w:line="36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总分不得超过10分。</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b w:val="0"/>
                <w:bCs/>
                <w:color w:val="auto"/>
                <w:kern w:val="0"/>
                <w:sz w:val="24"/>
                <w:szCs w:val="24"/>
              </w:rPr>
              <w:t>注：</w:t>
            </w:r>
            <w:r>
              <w:rPr>
                <w:rFonts w:hint="eastAsia" w:ascii="仿宋_GB2312" w:hAnsi="仿宋_GB2312" w:eastAsia="仿宋_GB2312" w:cs="仿宋_GB2312"/>
                <w:color w:val="auto"/>
                <w:sz w:val="24"/>
                <w:szCs w:val="24"/>
              </w:rPr>
              <w:t>需提供人员有效的</w:t>
            </w:r>
            <w:r>
              <w:rPr>
                <w:rFonts w:hint="eastAsia" w:ascii="仿宋_GB2312" w:hAnsi="仿宋_GB2312" w:eastAsia="仿宋_GB2312" w:cs="仿宋_GB2312"/>
                <w:color w:val="auto"/>
                <w:sz w:val="24"/>
                <w:szCs w:val="24"/>
                <w:lang w:val="en-US" w:eastAsia="zh-CN"/>
              </w:rPr>
              <w:t>获奖证明材料，包括但不限于证书复印件（加盖公章</w:t>
            </w:r>
            <w:bookmarkStart w:id="4" w:name="_GoBack"/>
            <w:bookmarkEnd w:id="4"/>
            <w:r>
              <w:rPr>
                <w:rFonts w:hint="eastAsia" w:ascii="仿宋_GB2312" w:hAnsi="仿宋_GB2312" w:eastAsia="仿宋_GB2312" w:cs="仿宋_GB2312"/>
                <w:color w:val="auto"/>
                <w:sz w:val="24"/>
                <w:szCs w:val="24"/>
                <w:lang w:val="en-US" w:eastAsia="zh-CN"/>
              </w:rPr>
              <w:t>）、相关新闻报道截图等</w:t>
            </w:r>
            <w:r>
              <w:rPr>
                <w:rFonts w:hint="eastAsia" w:ascii="仿宋_GB2312" w:hAnsi="仿宋_GB2312" w:eastAsia="仿宋_GB2312" w:cs="仿宋_GB2312"/>
                <w:color w:val="auto"/>
                <w:sz w:val="24"/>
                <w:szCs w:val="24"/>
              </w:rPr>
              <w:t>。</w:t>
            </w:r>
          </w:p>
        </w:tc>
        <w:tc>
          <w:tcPr>
            <w:tcW w:w="1134" w:type="dxa"/>
            <w:vAlign w:val="center"/>
          </w:tcPr>
          <w:p w14:paraId="653BD349">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573AD926">
            <w:pPr>
              <w:spacing w:line="360" w:lineRule="auto"/>
              <w:jc w:val="center"/>
              <w:rPr>
                <w:rFonts w:hint="default"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10</w:t>
            </w:r>
          </w:p>
        </w:tc>
      </w:tr>
      <w:tr w14:paraId="151B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38" w:type="dxa"/>
            <w:vAlign w:val="center"/>
          </w:tcPr>
          <w:p w14:paraId="48C768D2">
            <w:pPr>
              <w:widowControl/>
              <w:spacing w:line="360" w:lineRule="auto"/>
              <w:jc w:val="cente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3</w:t>
            </w:r>
          </w:p>
        </w:tc>
        <w:tc>
          <w:tcPr>
            <w:tcW w:w="992" w:type="dxa"/>
            <w:vAlign w:val="center"/>
          </w:tcPr>
          <w:p w14:paraId="250D2166">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安全服务方案</w:t>
            </w:r>
          </w:p>
        </w:tc>
        <w:tc>
          <w:tcPr>
            <w:tcW w:w="5783" w:type="dxa"/>
            <w:vAlign w:val="center"/>
          </w:tcPr>
          <w:p w14:paraId="03C7091F">
            <w:pPr>
              <w:spacing w:line="360" w:lineRule="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对南财集团环境了解、需求清晰，提供的技术服务方案中的各项服务方案（包括应急预案安全检测、漏洞扫描、渗透测试、重保时期安全监控、应急响应服务等），方案思想先进，方案内容详细、保障、响应机制完善。各项内容交付的报告模板逻辑清晰、编写规整、内容充实、建议切实可行；优秀得10分，良好得6分，一般得3分，差得0分。</w:t>
            </w:r>
          </w:p>
        </w:tc>
        <w:tc>
          <w:tcPr>
            <w:tcW w:w="1134" w:type="dxa"/>
            <w:vAlign w:val="center"/>
          </w:tcPr>
          <w:p w14:paraId="05B58D2F">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20F5E9EA">
            <w:pPr>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10</w:t>
            </w:r>
          </w:p>
        </w:tc>
      </w:tr>
      <w:tr w14:paraId="05E0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38" w:type="dxa"/>
            <w:vAlign w:val="center"/>
          </w:tcPr>
          <w:p w14:paraId="5BDABB7B">
            <w:pPr>
              <w:widowControl/>
              <w:spacing w:line="360" w:lineRule="auto"/>
              <w:jc w:val="cente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4</w:t>
            </w:r>
          </w:p>
        </w:tc>
        <w:tc>
          <w:tcPr>
            <w:tcW w:w="992" w:type="dxa"/>
            <w:vAlign w:val="center"/>
          </w:tcPr>
          <w:p w14:paraId="71573473">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项目经理能力</w:t>
            </w:r>
          </w:p>
        </w:tc>
        <w:tc>
          <w:tcPr>
            <w:tcW w:w="5783" w:type="dxa"/>
            <w:vAlign w:val="center"/>
          </w:tcPr>
          <w:p w14:paraId="398406A8">
            <w:pPr>
              <w:spacing w:line="360" w:lineRule="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color w:val="auto"/>
                <w:sz w:val="24"/>
                <w:szCs w:val="24"/>
                <w:lang w:val="en-US" w:eastAsia="zh-CN"/>
              </w:rPr>
              <w:t>投标单位或者安全服务团队（投标单位代理的安全服务厂商指定服务团队）</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为本项目配备1名</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年以上工作经验</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的</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项目经理</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auto"/>
                <w:sz w:val="24"/>
                <w:szCs w:val="24"/>
              </w:rPr>
              <w:t>具有</w:t>
            </w:r>
            <w:r>
              <w:rPr>
                <w:rFonts w:hint="eastAsia" w:ascii="仿宋_GB2312" w:hAnsi="仿宋_GB2312" w:eastAsia="仿宋_GB2312" w:cs="仿宋_GB2312"/>
                <w:color w:val="auto"/>
                <w:sz w:val="24"/>
                <w:szCs w:val="24"/>
                <w:lang w:val="en-US" w:eastAsia="zh-CN"/>
              </w:rPr>
              <w:t>国家认可的</w:t>
            </w:r>
            <w:r>
              <w:rPr>
                <w:rFonts w:hint="eastAsia" w:ascii="仿宋_GB2312" w:hAnsi="仿宋_GB2312" w:eastAsia="仿宋_GB2312" w:cs="仿宋_GB2312"/>
                <w:color w:val="000000" w:themeColor="text1"/>
                <w:kern w:val="0"/>
                <w:sz w:val="24"/>
                <w:szCs w:val="24"/>
                <w14:textFill>
                  <w14:solidFill>
                    <w14:schemeClr w14:val="tx1"/>
                  </w14:solidFill>
                </w14:textFill>
              </w:rPr>
              <w:t>高级技术工程师证书</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auto"/>
                <w:sz w:val="24"/>
                <w:szCs w:val="24"/>
              </w:rPr>
              <w:t>项目管理专业人员资格认证证书（PMP）、注册信息系统安全专家证书（CISSP）、信息安全工程师资格证书（CISP）、注册信息系统审计师认证证书（CISA）、注册信息安全经理认证（CISM），</w:t>
            </w:r>
            <w:r>
              <w:rPr>
                <w:rFonts w:hint="eastAsia" w:ascii="仿宋_GB2312" w:hAnsi="仿宋_GB2312" w:eastAsia="仿宋_GB2312" w:cs="仿宋_GB2312"/>
                <w:sz w:val="24"/>
                <w:szCs w:val="24"/>
              </w:rPr>
              <w:t>注册渗透测试工程师(CISP-PTE)</w:t>
            </w:r>
            <w:r>
              <w:rPr>
                <w:rFonts w:hint="eastAsia"/>
              </w:rPr>
              <w:t xml:space="preserve"> </w:t>
            </w:r>
            <w:r>
              <w:rPr>
                <w:rFonts w:hint="eastAsia"/>
                <w:lang w:eastAsia="zh-CN"/>
              </w:rPr>
              <w:t>、</w:t>
            </w:r>
            <w:r>
              <w:rPr>
                <w:rFonts w:hint="eastAsia" w:ascii="仿宋_GB2312" w:hAnsi="仿宋_GB2312" w:eastAsia="仿宋_GB2312" w:cs="仿宋_GB2312"/>
                <w:sz w:val="24"/>
                <w:szCs w:val="24"/>
              </w:rPr>
              <w:t>网络安全攻防实战演习专家聘书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每个证书得2分，本项最高得8分，不提供不得分</w:t>
            </w:r>
            <w:r>
              <w:rPr>
                <w:rFonts w:hint="eastAsia" w:ascii="仿宋_GB2312" w:hAnsi="仿宋_GB2312" w:eastAsia="仿宋_GB2312" w:cs="仿宋_GB2312"/>
                <w:color w:val="auto"/>
                <w:sz w:val="24"/>
                <w:szCs w:val="24"/>
                <w:lang w:eastAsia="zh-CN"/>
              </w:rPr>
              <w:t>；</w:t>
            </w:r>
          </w:p>
          <w:p w14:paraId="19001DA5">
            <w:pPr>
              <w:spacing w:line="360" w:lineRule="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auto"/>
                <w:kern w:val="0"/>
                <w:sz w:val="24"/>
                <w:szCs w:val="24"/>
              </w:rPr>
              <w:t>注：</w:t>
            </w:r>
            <w:r>
              <w:rPr>
                <w:rFonts w:hint="eastAsia" w:ascii="仿宋_GB2312" w:hAnsi="仿宋_GB2312" w:eastAsia="仿宋_GB2312" w:cs="仿宋_GB2312"/>
                <w:color w:val="auto"/>
                <w:sz w:val="24"/>
                <w:szCs w:val="24"/>
              </w:rPr>
              <w:t>需提供人员有效的资质证书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项目经理工作经验年限的有效证明（工资流水、社保缴费记录、劳动合同、单位工作证明等材料之一）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投标单位</w:t>
            </w:r>
            <w:r>
              <w:rPr>
                <w:rFonts w:hint="eastAsia" w:ascii="仿宋_GB2312" w:hAnsi="仿宋_GB2312" w:eastAsia="仿宋_GB2312" w:cs="仿宋_GB2312"/>
                <w:color w:val="auto"/>
                <w:sz w:val="24"/>
                <w:szCs w:val="24"/>
                <w:lang w:val="en-US" w:eastAsia="zh-CN"/>
              </w:rPr>
              <w:t>或投标单位代理的安全服务厂商</w:t>
            </w:r>
            <w:r>
              <w:rPr>
                <w:rFonts w:hint="eastAsia" w:ascii="仿宋_GB2312" w:hAnsi="仿宋_GB2312" w:eastAsia="仿宋_GB2312" w:cs="仿宋_GB2312"/>
                <w:color w:val="auto"/>
                <w:sz w:val="24"/>
                <w:szCs w:val="24"/>
              </w:rPr>
              <w:t>为其缴纳</w:t>
            </w:r>
            <w:r>
              <w:rPr>
                <w:rFonts w:hint="eastAsia" w:ascii="仿宋_GB2312" w:hAnsi="仿宋_GB2312" w:eastAsia="仿宋_GB2312" w:cs="仿宋_GB2312"/>
                <w:color w:val="auto"/>
                <w:sz w:val="24"/>
                <w:szCs w:val="24"/>
                <w:lang w:val="en-US" w:eastAsia="zh-CN"/>
              </w:rPr>
              <w:t>近1年的</w:t>
            </w:r>
            <w:r>
              <w:rPr>
                <w:rFonts w:hint="eastAsia" w:ascii="仿宋_GB2312" w:hAnsi="仿宋_GB2312" w:eastAsia="仿宋_GB2312" w:cs="仿宋_GB2312"/>
                <w:color w:val="auto"/>
                <w:sz w:val="24"/>
                <w:szCs w:val="24"/>
              </w:rPr>
              <w:t>社保证明材料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截止至2025年6月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tc>
        <w:tc>
          <w:tcPr>
            <w:tcW w:w="1134" w:type="dxa"/>
            <w:vAlign w:val="center"/>
          </w:tcPr>
          <w:p w14:paraId="347E08C7">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622378DB">
            <w:pPr>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8</w:t>
            </w:r>
          </w:p>
        </w:tc>
      </w:tr>
      <w:tr w14:paraId="6804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38" w:type="dxa"/>
            <w:vAlign w:val="center"/>
          </w:tcPr>
          <w:p w14:paraId="0B60655F">
            <w:pPr>
              <w:widowControl/>
              <w:spacing w:line="360" w:lineRule="auto"/>
              <w:jc w:val="cente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5</w:t>
            </w:r>
          </w:p>
        </w:tc>
        <w:tc>
          <w:tcPr>
            <w:tcW w:w="992" w:type="dxa"/>
            <w:tcBorders>
              <w:tl2br w:val="nil"/>
              <w:tr2bl w:val="nil"/>
            </w:tcBorders>
            <w:vAlign w:val="center"/>
          </w:tcPr>
          <w:p w14:paraId="0C1DA676">
            <w:pPr>
              <w:widowControl/>
              <w:spacing w:line="36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kern w:val="0"/>
                <w:sz w:val="24"/>
                <w:szCs w:val="24"/>
                <w:lang w:bidi="ar"/>
              </w:rPr>
              <w:t>项目团队成员能力</w:t>
            </w:r>
          </w:p>
        </w:tc>
        <w:tc>
          <w:tcPr>
            <w:tcW w:w="5783" w:type="dxa"/>
            <w:tcBorders>
              <w:tl2br w:val="nil"/>
              <w:tr2bl w:val="nil"/>
            </w:tcBorders>
            <w:vAlign w:val="center"/>
          </w:tcPr>
          <w:p w14:paraId="7E65FFE1">
            <w:pPr>
              <w:widowControl/>
              <w:snapToGrid w:val="0"/>
              <w:spacing w:line="360" w:lineRule="auto"/>
              <w:jc w:val="left"/>
              <w:textAlignment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color w:val="auto"/>
                <w:sz w:val="24"/>
                <w:szCs w:val="24"/>
                <w:lang w:val="en-US" w:eastAsia="zh-CN"/>
              </w:rPr>
              <w:t>投标单位或者安全服务团队（投标单位代理的安全服务厂商指定服务团队）</w:t>
            </w:r>
            <w:r>
              <w:rPr>
                <w:rFonts w:hint="eastAsia" w:ascii="仿宋_GB2312" w:hAnsi="仿宋_GB2312" w:eastAsia="仿宋_GB2312" w:cs="仿宋_GB2312"/>
                <w:b w:val="0"/>
                <w:bCs/>
                <w:color w:val="auto"/>
                <w:kern w:val="0"/>
                <w:sz w:val="24"/>
                <w:szCs w:val="24"/>
              </w:rPr>
              <w:t>配备的项目技术服务团队人员应不少于6人（不包括项目经理）：</w:t>
            </w:r>
          </w:p>
          <w:p w14:paraId="6887B224">
            <w:pPr>
              <w:widowControl/>
              <w:snapToGrid w:val="0"/>
              <w:spacing w:line="360" w:lineRule="auto"/>
              <w:jc w:val="left"/>
              <w:textAlignment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val="0"/>
                <w:bCs/>
                <w:color w:val="auto"/>
                <w:kern w:val="0"/>
                <w:sz w:val="24"/>
                <w:szCs w:val="24"/>
              </w:rPr>
              <w:t>1）团队技术负责人1名：工作年限</w:t>
            </w:r>
            <w:r>
              <w:rPr>
                <w:rFonts w:hint="eastAsia" w:ascii="仿宋_GB2312" w:hAnsi="仿宋_GB2312" w:eastAsia="仿宋_GB2312" w:cs="仿宋_GB2312"/>
                <w:b w:val="0"/>
                <w:bCs/>
                <w:color w:val="auto"/>
                <w:kern w:val="0"/>
                <w:sz w:val="24"/>
                <w:szCs w:val="24"/>
                <w:lang w:val="en-US" w:eastAsia="zh-CN"/>
              </w:rPr>
              <w:t>10</w:t>
            </w:r>
            <w:r>
              <w:rPr>
                <w:rFonts w:hint="eastAsia" w:ascii="仿宋_GB2312" w:hAnsi="仿宋_GB2312" w:eastAsia="仿宋_GB2312" w:cs="仿宋_GB2312"/>
                <w:b w:val="0"/>
                <w:bCs/>
                <w:color w:val="auto"/>
                <w:kern w:val="0"/>
                <w:sz w:val="24"/>
                <w:szCs w:val="24"/>
              </w:rPr>
              <w:t>年及以上，</w:t>
            </w:r>
            <w:r>
              <w:rPr>
                <w:rFonts w:hint="eastAsia" w:ascii="仿宋_GB2312" w:hAnsi="仿宋_GB2312" w:eastAsia="仿宋_GB2312" w:cs="仿宋_GB2312"/>
                <w:color w:val="auto"/>
                <w:sz w:val="24"/>
                <w:szCs w:val="24"/>
              </w:rPr>
              <w:t>具备</w:t>
            </w:r>
            <w:r>
              <w:rPr>
                <w:rFonts w:hint="eastAsia" w:ascii="仿宋_GB2312" w:hAnsi="仿宋_GB2312" w:eastAsia="仿宋_GB2312" w:cs="仿宋_GB2312"/>
                <w:color w:val="auto"/>
                <w:sz w:val="24"/>
                <w:szCs w:val="24"/>
                <w:lang w:val="en-US" w:eastAsia="zh-CN"/>
              </w:rPr>
              <w:t>国家认可的</w:t>
            </w:r>
            <w:r>
              <w:rPr>
                <w:rFonts w:hint="eastAsia" w:ascii="仿宋_GB2312" w:hAnsi="仿宋_GB2312" w:eastAsia="仿宋_GB2312" w:cs="仿宋_GB2312"/>
                <w:color w:val="000000" w:themeColor="text1"/>
                <w:kern w:val="0"/>
                <w:sz w:val="24"/>
                <w:szCs w:val="24"/>
                <w14:textFill>
                  <w14:solidFill>
                    <w14:schemeClr w14:val="tx1"/>
                  </w14:solidFill>
                </w14:textFill>
              </w:rPr>
              <w:t>高级技术工程师证书</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auto"/>
                <w:sz w:val="24"/>
                <w:szCs w:val="24"/>
              </w:rPr>
              <w:t>国家注册渗透测试专家（CISP-PTS）、注册信息系统安全专家证书（CISSP）、</w:t>
            </w:r>
            <w:r>
              <w:rPr>
                <w:rFonts w:hint="eastAsia" w:ascii="仿宋_GB2312" w:hAnsi="仿宋_GB2312" w:eastAsia="仿宋_GB2312" w:cs="仿宋_GB2312"/>
                <w:sz w:val="24"/>
                <w:szCs w:val="24"/>
              </w:rPr>
              <w:t>注册信息安全专业人员证书（CISAW）</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rPr>
              <w:t>信息安全工程师资格证书（CISP）、注册信息系统审计师认证证书（CISA），每个证书得1分，本项最高得4分，不提供不得分。</w:t>
            </w:r>
          </w:p>
          <w:p w14:paraId="54BB26CC">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团队其他成员5名：工作年限3年及以上，具备</w:t>
            </w:r>
            <w:r>
              <w:rPr>
                <w:rFonts w:hint="eastAsia" w:ascii="仿宋_GB2312" w:hAnsi="仿宋_GB2312" w:eastAsia="仿宋_GB2312" w:cs="仿宋_GB2312"/>
                <w:color w:val="auto"/>
                <w:sz w:val="24"/>
                <w:szCs w:val="24"/>
                <w:lang w:val="en-US" w:eastAsia="zh-CN"/>
              </w:rPr>
              <w:t>国家认可的</w:t>
            </w:r>
            <w:r>
              <w:rPr>
                <w:rFonts w:hint="eastAsia" w:ascii="仿宋_GB2312" w:hAnsi="仿宋_GB2312" w:eastAsia="仿宋_GB2312" w:cs="仿宋_GB2312"/>
                <w:color w:val="000000" w:themeColor="text1"/>
                <w:kern w:val="0"/>
                <w:sz w:val="24"/>
                <w:szCs w:val="24"/>
                <w14:textFill>
                  <w14:solidFill>
                    <w14:schemeClr w14:val="tx1"/>
                  </w14:solidFill>
                </w14:textFill>
              </w:rPr>
              <w:t>高级技术工程师证书</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auto"/>
                <w:sz w:val="24"/>
                <w:szCs w:val="24"/>
              </w:rPr>
              <w:t>CISP（注册信息安全工程师证书）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CISP-PTE</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国家</w:t>
            </w:r>
            <w:r>
              <w:rPr>
                <w:rFonts w:hint="eastAsia" w:ascii="仿宋_GB2312" w:hAnsi="仿宋_GB2312" w:eastAsia="仿宋_GB2312" w:cs="仿宋_GB2312"/>
                <w:color w:val="auto"/>
                <w:sz w:val="24"/>
                <w:szCs w:val="24"/>
              </w:rPr>
              <w:t>注册渗透测试</w:t>
            </w:r>
            <w:r>
              <w:rPr>
                <w:rFonts w:hint="eastAsia" w:ascii="仿宋_GB2312" w:hAnsi="仿宋_GB2312" w:eastAsia="仿宋_GB2312" w:cs="仿宋_GB2312"/>
                <w:color w:val="auto"/>
                <w:sz w:val="24"/>
                <w:szCs w:val="24"/>
                <w:lang w:val="en-US" w:eastAsia="zh-CN"/>
              </w:rPr>
              <w:t>工程师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CISAW(信息安全保障人员认证证书，认证方向：风险管理)，每个证书得1分，本项最高得4分，不提供不得分；</w:t>
            </w:r>
          </w:p>
          <w:p w14:paraId="3558245D">
            <w:pPr>
              <w:widowControl/>
              <w:snapToGrid w:val="0"/>
              <w:spacing w:line="360" w:lineRule="auto"/>
              <w:jc w:val="left"/>
              <w:textAlignment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color w:val="auto"/>
                <w:sz w:val="24"/>
                <w:szCs w:val="24"/>
              </w:rPr>
              <w:t>注：需提供人员有效的资质证书、</w:t>
            </w:r>
            <w:r>
              <w:rPr>
                <w:rFonts w:hint="eastAsia" w:ascii="仿宋_GB2312" w:hAnsi="仿宋_GB2312" w:eastAsia="仿宋_GB2312" w:cs="仿宋_GB2312"/>
                <w:color w:val="auto"/>
                <w:sz w:val="24"/>
                <w:szCs w:val="24"/>
                <w:lang w:val="en-US" w:eastAsia="zh-CN"/>
              </w:rPr>
              <w:t>人员工作经验年限的有效证明（工资流水、社保缴费记录、劳动合同、单位工作证明等材料之一）、</w:t>
            </w:r>
            <w:r>
              <w:rPr>
                <w:rFonts w:hint="eastAsia" w:ascii="仿宋_GB2312" w:hAnsi="仿宋_GB2312" w:eastAsia="仿宋_GB2312" w:cs="仿宋_GB2312"/>
                <w:color w:val="auto"/>
                <w:sz w:val="24"/>
                <w:szCs w:val="24"/>
              </w:rPr>
              <w:t>投标单位</w:t>
            </w:r>
            <w:r>
              <w:rPr>
                <w:rFonts w:hint="eastAsia" w:ascii="仿宋_GB2312" w:hAnsi="仿宋_GB2312" w:eastAsia="仿宋_GB2312" w:cs="仿宋_GB2312"/>
                <w:color w:val="auto"/>
                <w:sz w:val="24"/>
                <w:szCs w:val="24"/>
                <w:lang w:val="en-US" w:eastAsia="zh-CN"/>
              </w:rPr>
              <w:t>或投标单位代理的安全服务厂商</w:t>
            </w:r>
            <w:r>
              <w:rPr>
                <w:rFonts w:hint="eastAsia" w:ascii="仿宋_GB2312" w:hAnsi="仿宋_GB2312" w:eastAsia="仿宋_GB2312" w:cs="仿宋_GB2312"/>
                <w:color w:val="auto"/>
                <w:sz w:val="24"/>
                <w:szCs w:val="24"/>
              </w:rPr>
              <w:t>为其缴纳</w:t>
            </w:r>
            <w:r>
              <w:rPr>
                <w:rFonts w:hint="eastAsia" w:ascii="仿宋_GB2312" w:hAnsi="仿宋_GB2312" w:eastAsia="仿宋_GB2312" w:cs="仿宋_GB2312"/>
                <w:color w:val="auto"/>
                <w:sz w:val="24"/>
                <w:szCs w:val="24"/>
                <w:lang w:val="en-US" w:eastAsia="zh-CN"/>
              </w:rPr>
              <w:t>近1年</w:t>
            </w:r>
            <w:r>
              <w:rPr>
                <w:rFonts w:hint="eastAsia" w:ascii="仿宋_GB2312" w:hAnsi="仿宋_GB2312" w:eastAsia="仿宋_GB2312" w:cs="仿宋_GB2312"/>
                <w:color w:val="auto"/>
                <w:sz w:val="24"/>
                <w:szCs w:val="24"/>
              </w:rPr>
              <w:t>的社保证明材料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截止至2025年6月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tc>
        <w:tc>
          <w:tcPr>
            <w:tcW w:w="1134" w:type="dxa"/>
            <w:vAlign w:val="center"/>
          </w:tcPr>
          <w:p w14:paraId="2522DF66">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45E11C3A">
            <w:pPr>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8</w:t>
            </w:r>
          </w:p>
        </w:tc>
      </w:tr>
      <w:tr w14:paraId="07FF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738" w:type="dxa"/>
            <w:vAlign w:val="center"/>
          </w:tcPr>
          <w:p w14:paraId="10191D79">
            <w:pPr>
              <w:widowControl/>
              <w:spacing w:line="360" w:lineRule="auto"/>
              <w:jc w:val="cente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6</w:t>
            </w:r>
          </w:p>
        </w:tc>
        <w:tc>
          <w:tcPr>
            <w:tcW w:w="992" w:type="dxa"/>
            <w:tcBorders>
              <w:tl2br w:val="nil"/>
              <w:tr2bl w:val="nil"/>
            </w:tcBorders>
            <w:vAlign w:val="center"/>
          </w:tcPr>
          <w:p w14:paraId="2E8C713E">
            <w:pPr>
              <w:widowControl/>
              <w:spacing w:line="360" w:lineRule="auto"/>
              <w:jc w:val="center"/>
              <w:rPr>
                <w:rFonts w:hint="eastAsia" w:ascii="仿宋_GB2312" w:hAnsi="仿宋_GB2312" w:eastAsia="仿宋_GB2312" w:cs="仿宋_GB2312"/>
                <w:b w:val="0"/>
                <w:bCs/>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bidi="ar"/>
                <w14:textFill>
                  <w14:solidFill>
                    <w14:schemeClr w14:val="tx1"/>
                  </w14:solidFill>
                </w14:textFill>
              </w:rPr>
              <w:t>企业本地化支持</w:t>
            </w:r>
          </w:p>
        </w:tc>
        <w:tc>
          <w:tcPr>
            <w:tcW w:w="5783" w:type="dxa"/>
            <w:tcBorders>
              <w:tl2br w:val="nil"/>
              <w:tr2bl w:val="nil"/>
            </w:tcBorders>
            <w:vAlign w:val="center"/>
          </w:tcPr>
          <w:p w14:paraId="5CE11989">
            <w:pPr>
              <w:widowControl/>
              <w:snapToGrid w:val="0"/>
              <w:spacing w:line="360" w:lineRule="auto"/>
              <w:jc w:val="left"/>
              <w:textAlignment w:val="cente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投标单位</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或者投标单位代理的安全服务厂商</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是</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在广州</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拥有核心团队</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人数不少于10人</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得4分</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w:t>
            </w:r>
          </w:p>
          <w:p w14:paraId="49916AD7">
            <w:pPr>
              <w:widowControl/>
              <w:snapToGrid w:val="0"/>
              <w:spacing w:line="360" w:lineRule="auto"/>
              <w:jc w:val="left"/>
              <w:textAlignment w:val="center"/>
              <w:rPr>
                <w:rFonts w:hint="default"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注：需提供广州办公场地租赁合同复印件、</w:t>
            </w:r>
            <w:r>
              <w:rPr>
                <w:rFonts w:hint="eastAsia" w:ascii="仿宋_GB2312" w:hAnsi="仿宋_GB2312" w:eastAsia="仿宋_GB2312" w:cs="仿宋_GB2312"/>
                <w:i w:val="0"/>
                <w:iCs w:val="0"/>
                <w:caps w:val="0"/>
                <w:spacing w:val="0"/>
                <w:sz w:val="24"/>
                <w:szCs w:val="24"/>
                <w:shd w:val="clear" w:fill="FFFFFF"/>
              </w:rPr>
              <w:t>团队成员在</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广州</w:t>
            </w:r>
            <w:r>
              <w:rPr>
                <w:rFonts w:hint="eastAsia" w:ascii="仿宋_GB2312" w:hAnsi="仿宋_GB2312" w:eastAsia="仿宋_GB2312" w:cs="仿宋_GB2312"/>
                <w:i w:val="0"/>
                <w:iCs w:val="0"/>
                <w:caps w:val="0"/>
                <w:spacing w:val="0"/>
                <w:sz w:val="24"/>
                <w:szCs w:val="24"/>
                <w:shd w:val="clear" w:fill="FFFFFF"/>
              </w:rPr>
              <w:t>缴纳社会保险的证明文件</w:t>
            </w:r>
            <w:r>
              <w:rPr>
                <w:rFonts w:hint="eastAsia" w:ascii="仿宋_GB2312" w:hAnsi="仿宋_GB2312" w:eastAsia="仿宋_GB2312" w:cs="仿宋_GB2312"/>
                <w:i w:val="0"/>
                <w:iCs w:val="0"/>
                <w:caps w:val="0"/>
                <w:spacing w:val="0"/>
                <w:sz w:val="24"/>
                <w:szCs w:val="24"/>
                <w:shd w:val="clear" w:fill="FFFFFF"/>
                <w:lang w:val="en-US" w:eastAsia="zh-CN"/>
              </w:rPr>
              <w:t>或者其他可以证明此项要求的材料。</w:t>
            </w:r>
          </w:p>
        </w:tc>
        <w:tc>
          <w:tcPr>
            <w:tcW w:w="1134" w:type="dxa"/>
            <w:vAlign w:val="center"/>
          </w:tcPr>
          <w:p w14:paraId="429D7795">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2E016EAA">
            <w:pPr>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4</w:t>
            </w:r>
          </w:p>
        </w:tc>
      </w:tr>
    </w:tbl>
    <w:p w14:paraId="19F502C8">
      <w:pPr>
        <w:pStyle w:val="5"/>
        <w:numPr>
          <w:ilvl w:val="3"/>
          <w:numId w:val="0"/>
        </w:numPr>
        <w:ind w:leftChars="0"/>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lang w:val="en-US" w:eastAsia="zh-CN"/>
        </w:rPr>
        <w:t>2.</w:t>
      </w:r>
      <w:r>
        <w:rPr>
          <w:rFonts w:hint="eastAsia" w:ascii="仿宋_GB2312" w:hAnsi="仿宋_GB2312" w:eastAsia="仿宋_GB2312" w:cs="仿宋_GB2312"/>
          <w:b w:val="0"/>
          <w:bCs/>
          <w:sz w:val="34"/>
          <w:szCs w:val="34"/>
        </w:rPr>
        <w:t>商务评分标准（20分）</w:t>
      </w:r>
    </w:p>
    <w:tbl>
      <w:tblPr>
        <w:tblStyle w:val="9"/>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95"/>
        <w:gridCol w:w="4558"/>
        <w:gridCol w:w="1956"/>
        <w:gridCol w:w="709"/>
      </w:tblGrid>
      <w:tr w14:paraId="5CB3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738" w:type="dxa"/>
            <w:vAlign w:val="center"/>
          </w:tcPr>
          <w:p w14:paraId="677876EA">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bookmarkStart w:id="1" w:name="_Hlk202185159"/>
            <w:r>
              <w:rPr>
                <w:rFonts w:hint="eastAsia" w:ascii="仿宋_GB2312" w:hAnsi="仿宋_GB2312" w:eastAsia="仿宋_GB2312" w:cs="仿宋_GB2312"/>
                <w:b w:val="0"/>
                <w:bCs/>
                <w:color w:val="000000" w:themeColor="text1"/>
                <w:sz w:val="24"/>
                <w:szCs w:val="24"/>
                <w14:textFill>
                  <w14:solidFill>
                    <w14:schemeClr w14:val="tx1"/>
                  </w14:solidFill>
                </w14:textFill>
              </w:rPr>
              <w:t>序号</w:t>
            </w:r>
          </w:p>
        </w:tc>
        <w:tc>
          <w:tcPr>
            <w:tcW w:w="5953" w:type="dxa"/>
            <w:gridSpan w:val="2"/>
            <w:vAlign w:val="center"/>
          </w:tcPr>
          <w:p w14:paraId="1376DB0F">
            <w:pPr>
              <w:widowControl/>
              <w:spacing w:line="360" w:lineRule="auto"/>
              <w:ind w:firstLine="480" w:firstLineChars="200"/>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具体项目</w:t>
            </w:r>
          </w:p>
        </w:tc>
        <w:tc>
          <w:tcPr>
            <w:tcW w:w="1956" w:type="dxa"/>
            <w:vAlign w:val="center"/>
          </w:tcPr>
          <w:p w14:paraId="51BE7F14">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评分要求</w:t>
            </w:r>
          </w:p>
        </w:tc>
        <w:tc>
          <w:tcPr>
            <w:tcW w:w="709" w:type="dxa"/>
            <w:vAlign w:val="center"/>
          </w:tcPr>
          <w:p w14:paraId="141DF7B0">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分值</w:t>
            </w:r>
          </w:p>
        </w:tc>
      </w:tr>
      <w:tr w14:paraId="352B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796A0585">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1</w:t>
            </w:r>
          </w:p>
        </w:tc>
        <w:tc>
          <w:tcPr>
            <w:tcW w:w="1395" w:type="dxa"/>
            <w:vAlign w:val="center"/>
          </w:tcPr>
          <w:p w14:paraId="7362C429">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bidi="ar"/>
                <w14:textFill>
                  <w14:solidFill>
                    <w14:schemeClr w14:val="tx1"/>
                  </w14:solidFill>
                </w14:textFill>
              </w:rPr>
              <w:t>企业资质</w:t>
            </w:r>
          </w:p>
        </w:tc>
        <w:tc>
          <w:tcPr>
            <w:tcW w:w="4558" w:type="dxa"/>
            <w:vAlign w:val="center"/>
          </w:tcPr>
          <w:p w14:paraId="2F0C5B0C">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投标单位</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或者投标单位代理的安全服务厂商</w:t>
            </w:r>
            <w:r>
              <w:rPr>
                <w:rFonts w:hint="eastAsia" w:ascii="仿宋_GB2312" w:hAnsi="仿宋_GB2312" w:eastAsia="仿宋_GB2312" w:cs="仿宋_GB2312"/>
                <w:b w:val="0"/>
                <w:bCs/>
                <w:color w:val="000000" w:themeColor="text1"/>
                <w:sz w:val="24"/>
                <w:szCs w:val="24"/>
                <w14:textFill>
                  <w14:solidFill>
                    <w14:schemeClr w14:val="tx1"/>
                  </w14:solidFill>
                </w14:textFill>
              </w:rPr>
              <w:t>是否具有以下资质证书：</w:t>
            </w:r>
          </w:p>
          <w:p w14:paraId="080DA278">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1</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ab/>
            </w:r>
            <w:r>
              <w:rPr>
                <w:rFonts w:hint="eastAsia" w:ascii="仿宋_GB2312" w:hAnsi="仿宋_GB2312" w:eastAsia="仿宋_GB2312" w:cs="仿宋_GB2312"/>
                <w:b w:val="0"/>
                <w:bCs/>
                <w:color w:val="000000" w:themeColor="text1"/>
                <w:sz w:val="24"/>
                <w:szCs w:val="24"/>
                <w14:textFill>
                  <w14:solidFill>
                    <w14:schemeClr w14:val="tx1"/>
                  </w14:solidFill>
                </w14:textFill>
              </w:rPr>
              <w:t>信息安全管理体系认证证书（ISO27001）认证证书；</w:t>
            </w:r>
          </w:p>
          <w:p w14:paraId="0E1E9789">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2</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ab/>
            </w:r>
            <w:r>
              <w:rPr>
                <w:rFonts w:hint="eastAsia" w:ascii="仿宋_GB2312" w:hAnsi="仿宋_GB2312" w:eastAsia="仿宋_GB2312" w:cs="仿宋_GB2312"/>
                <w:b w:val="0"/>
                <w:bCs/>
                <w:color w:val="000000" w:themeColor="text1"/>
                <w:sz w:val="24"/>
                <w:szCs w:val="24"/>
                <w14:textFill>
                  <w14:solidFill>
                    <w14:schemeClr w14:val="tx1"/>
                  </w14:solidFill>
                </w14:textFill>
              </w:rPr>
              <w:t>质量管理体系认证证书（ISO9001）认证证书；</w:t>
            </w:r>
          </w:p>
          <w:p w14:paraId="46A81040">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3</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中国通信企业协会颁发的通信网络安全服务能力评定证书风险评估资质；(CESSCN)</w:t>
            </w:r>
          </w:p>
          <w:p w14:paraId="38844AE8">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4</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中国信息安全测评中心颁发的信息安全服务资质安全工程类资质证书；</w:t>
            </w:r>
          </w:p>
          <w:p w14:paraId="463A7016">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5</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szCs w:val="24"/>
                <w14:textFill>
                  <w14:solidFill>
                    <w14:schemeClr w14:val="tx1"/>
                  </w14:solidFill>
                </w14:textFill>
              </w:rPr>
              <w:t>中国信息安全测评中心颁发的信息安全服务资质风险评估类资质证书；</w:t>
            </w:r>
          </w:p>
        </w:tc>
        <w:tc>
          <w:tcPr>
            <w:tcW w:w="1956" w:type="dxa"/>
            <w:vAlign w:val="center"/>
          </w:tcPr>
          <w:p w14:paraId="4AEAD29C">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全满足5分，一项不满足扣1分；</w:t>
            </w:r>
          </w:p>
        </w:tc>
        <w:tc>
          <w:tcPr>
            <w:tcW w:w="709" w:type="dxa"/>
            <w:vAlign w:val="center"/>
          </w:tcPr>
          <w:p w14:paraId="2D9E839D">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5</w:t>
            </w:r>
          </w:p>
        </w:tc>
      </w:tr>
      <w:tr w14:paraId="054A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708F580A">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bookmarkStart w:id="2" w:name="_Hlk202353539"/>
            <w:r>
              <w:rPr>
                <w:rFonts w:hint="eastAsia" w:ascii="仿宋_GB2312" w:hAnsi="仿宋_GB2312" w:eastAsia="仿宋_GB2312" w:cs="仿宋_GB2312"/>
                <w:b w:val="0"/>
                <w:bCs/>
                <w:color w:val="000000" w:themeColor="text1"/>
                <w:sz w:val="24"/>
                <w:szCs w:val="24"/>
                <w14:textFill>
                  <w14:solidFill>
                    <w14:schemeClr w14:val="tx1"/>
                  </w14:solidFill>
                </w14:textFill>
              </w:rPr>
              <w:t>2</w:t>
            </w:r>
          </w:p>
        </w:tc>
        <w:tc>
          <w:tcPr>
            <w:tcW w:w="1395" w:type="dxa"/>
            <w:vAlign w:val="center"/>
          </w:tcPr>
          <w:p w14:paraId="463167BA">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bidi="ar"/>
                <w14:textFill>
                  <w14:solidFill>
                    <w14:schemeClr w14:val="tx1"/>
                  </w14:solidFill>
                </w14:textFill>
              </w:rPr>
              <w:t>同类业绩</w:t>
            </w:r>
          </w:p>
        </w:tc>
        <w:tc>
          <w:tcPr>
            <w:tcW w:w="4558" w:type="dxa"/>
            <w:vAlign w:val="center"/>
          </w:tcPr>
          <w:p w14:paraId="441126DB">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投标单位</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或者投标单位代理的安全服务厂商</w:t>
            </w:r>
            <w:r>
              <w:rPr>
                <w:rFonts w:hint="eastAsia" w:ascii="仿宋_GB2312" w:hAnsi="仿宋_GB2312" w:eastAsia="仿宋_GB2312" w:cs="仿宋_GB2312"/>
                <w:b w:val="0"/>
                <w:bCs/>
                <w:color w:val="000000" w:themeColor="text1"/>
                <w:sz w:val="24"/>
                <w:szCs w:val="24"/>
                <w14:textFill>
                  <w14:solidFill>
                    <w14:schemeClr w14:val="tx1"/>
                  </w14:solidFill>
                </w14:textFill>
              </w:rPr>
              <w:t>提供202</w:t>
            </w: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4"/>
                <w:szCs w:val="24"/>
                <w14:textFill>
                  <w14:solidFill>
                    <w14:schemeClr w14:val="tx1"/>
                  </w14:solidFill>
                </w14:textFill>
              </w:rPr>
              <w:t xml:space="preserve">年至今完成的同类攻防演练、网络安全服务项目业绩数量进行计分：每份1分 ，最高6分。 </w:t>
            </w:r>
          </w:p>
          <w:p w14:paraId="71ABB367">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注：提供合同（包括但不限于合同首页、数量页、金额页和签章页等）作为证明材料，否则相关业绩不得分。</w:t>
            </w:r>
          </w:p>
        </w:tc>
        <w:tc>
          <w:tcPr>
            <w:tcW w:w="1956" w:type="dxa"/>
            <w:vAlign w:val="center"/>
          </w:tcPr>
          <w:p w14:paraId="630E6755">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全满足6分，少一个扣1分，没案例得0分；</w:t>
            </w:r>
          </w:p>
        </w:tc>
        <w:tc>
          <w:tcPr>
            <w:tcW w:w="709" w:type="dxa"/>
            <w:vAlign w:val="center"/>
          </w:tcPr>
          <w:p w14:paraId="3A9F1DE4">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6</w:t>
            </w:r>
          </w:p>
        </w:tc>
      </w:tr>
      <w:bookmarkEnd w:id="2"/>
      <w:tr w14:paraId="7727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18A5453C">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3</w:t>
            </w:r>
          </w:p>
        </w:tc>
        <w:tc>
          <w:tcPr>
            <w:tcW w:w="1395" w:type="dxa"/>
            <w:vAlign w:val="center"/>
          </w:tcPr>
          <w:p w14:paraId="175DD070">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标书响应质量</w:t>
            </w:r>
          </w:p>
        </w:tc>
        <w:tc>
          <w:tcPr>
            <w:tcW w:w="4558" w:type="dxa"/>
            <w:vAlign w:val="center"/>
          </w:tcPr>
          <w:p w14:paraId="2115F12C">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标书应答内容完整详实准确，制作格式规范，装订整齐并提供文件索引速查表得5分；标书应答一般，制作简单得2分；标书应答存在错漏，不符合招标要求得0分；</w:t>
            </w:r>
          </w:p>
        </w:tc>
        <w:tc>
          <w:tcPr>
            <w:tcW w:w="1956" w:type="dxa"/>
            <w:vAlign w:val="center"/>
          </w:tcPr>
          <w:p w14:paraId="1EE79D21">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3683BE46">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5</w:t>
            </w:r>
          </w:p>
        </w:tc>
      </w:tr>
      <w:tr w14:paraId="594D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78470EE7">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4</w:t>
            </w:r>
          </w:p>
        </w:tc>
        <w:tc>
          <w:tcPr>
            <w:tcW w:w="1395" w:type="dxa"/>
            <w:vAlign w:val="center"/>
          </w:tcPr>
          <w:p w14:paraId="59139D31">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企业实力</w:t>
            </w:r>
          </w:p>
        </w:tc>
        <w:tc>
          <w:tcPr>
            <w:tcW w:w="4558" w:type="dxa"/>
            <w:vAlign w:val="center"/>
          </w:tcPr>
          <w:p w14:paraId="60824295">
            <w:pPr>
              <w:widowControl/>
              <w:spacing w:line="360" w:lineRule="auto"/>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投标单位</w:t>
            </w: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或者投标单位代理的安全服务厂商在广州</w:t>
            </w:r>
            <w:r>
              <w:rPr>
                <w:rFonts w:hint="eastAsia" w:ascii="仿宋_GB2312" w:hAnsi="仿宋_GB2312" w:eastAsia="仿宋_GB2312" w:cs="仿宋_GB2312"/>
                <w:b w:val="0"/>
                <w:bCs/>
                <w:color w:val="000000" w:themeColor="text1"/>
                <w:sz w:val="24"/>
                <w:szCs w:val="24"/>
                <w14:textFill>
                  <w14:solidFill>
                    <w14:schemeClr w14:val="tx1"/>
                  </w14:solidFill>
                </w14:textFill>
              </w:rPr>
              <w:t>技术人员超过30人及以上得4分，低于得2分，没有不得分（提供社保及毕业证书复印件）</w:t>
            </w:r>
          </w:p>
        </w:tc>
        <w:tc>
          <w:tcPr>
            <w:tcW w:w="1956" w:type="dxa"/>
            <w:vAlign w:val="center"/>
          </w:tcPr>
          <w:p w14:paraId="0041298C">
            <w:pPr>
              <w:widowControl/>
              <w:spacing w:line="360" w:lineRule="auto"/>
              <w:ind w:firstLine="480" w:firstLineChars="200"/>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分项评分</w:t>
            </w:r>
          </w:p>
        </w:tc>
        <w:tc>
          <w:tcPr>
            <w:tcW w:w="709" w:type="dxa"/>
            <w:vAlign w:val="center"/>
          </w:tcPr>
          <w:p w14:paraId="5EE3840C">
            <w:pPr>
              <w:widowControl/>
              <w:spacing w:line="360" w:lineRule="auto"/>
              <w:jc w:val="center"/>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4</w:t>
            </w:r>
          </w:p>
        </w:tc>
      </w:tr>
      <w:bookmarkEnd w:id="1"/>
    </w:tbl>
    <w:p w14:paraId="3CD8AA3D">
      <w:pPr>
        <w:pStyle w:val="5"/>
        <w:numPr>
          <w:ilvl w:val="3"/>
          <w:numId w:val="0"/>
        </w:numPr>
        <w:ind w:leftChars="0"/>
        <w:rPr>
          <w:rFonts w:hint="eastAsia" w:ascii="仿宋_GB2312" w:hAnsi="仿宋_GB2312" w:eastAsia="仿宋_GB2312" w:cs="仿宋_GB2312"/>
          <w:b w:val="0"/>
          <w:bCs/>
          <w:sz w:val="34"/>
          <w:szCs w:val="34"/>
        </w:rPr>
      </w:pPr>
      <w:r>
        <w:rPr>
          <w:rFonts w:hint="eastAsia" w:ascii="仿宋_GB2312" w:hAnsi="仿宋_GB2312" w:eastAsia="仿宋_GB2312" w:cs="仿宋_GB2312"/>
          <w:b w:val="0"/>
          <w:bCs/>
          <w:sz w:val="34"/>
          <w:szCs w:val="34"/>
          <w:lang w:val="en-US" w:eastAsia="zh-CN"/>
        </w:rPr>
        <w:t>3.</w:t>
      </w:r>
      <w:r>
        <w:rPr>
          <w:rFonts w:hint="eastAsia" w:ascii="仿宋_GB2312" w:hAnsi="仿宋_GB2312" w:eastAsia="仿宋_GB2312" w:cs="仿宋_GB2312"/>
          <w:b w:val="0"/>
          <w:bCs/>
          <w:sz w:val="34"/>
          <w:szCs w:val="34"/>
        </w:rPr>
        <w:t>价格评分标准（20分）</w:t>
      </w:r>
    </w:p>
    <w:tbl>
      <w:tblPr>
        <w:tblStyle w:val="9"/>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1"/>
        <w:gridCol w:w="6208"/>
        <w:gridCol w:w="709"/>
      </w:tblGrid>
      <w:tr w14:paraId="1DFF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5F07B6B5">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701" w:type="dxa"/>
            <w:vAlign w:val="center"/>
          </w:tcPr>
          <w:p w14:paraId="45F921B5">
            <w:pPr>
              <w:widowControl/>
              <w:spacing w:line="360" w:lineRule="auto"/>
              <w:ind w:firstLine="480" w:firstLineChars="2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具体项目</w:t>
            </w:r>
          </w:p>
        </w:tc>
        <w:tc>
          <w:tcPr>
            <w:tcW w:w="6208" w:type="dxa"/>
            <w:vAlign w:val="center"/>
          </w:tcPr>
          <w:p w14:paraId="018F0270">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评分要求</w:t>
            </w:r>
          </w:p>
        </w:tc>
        <w:tc>
          <w:tcPr>
            <w:tcW w:w="709" w:type="dxa"/>
            <w:vAlign w:val="center"/>
          </w:tcPr>
          <w:p w14:paraId="665D2275">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分值</w:t>
            </w:r>
          </w:p>
        </w:tc>
      </w:tr>
      <w:tr w14:paraId="422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38" w:type="dxa"/>
            <w:vAlign w:val="center"/>
          </w:tcPr>
          <w:p w14:paraId="77005811">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1701" w:type="dxa"/>
            <w:vAlign w:val="center"/>
          </w:tcPr>
          <w:p w14:paraId="1650745D">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kern w:val="0"/>
                <w:sz w:val="24"/>
                <w:szCs w:val="24"/>
                <w:lang w:bidi="ar"/>
              </w:rPr>
              <w:t>价格评分</w:t>
            </w:r>
          </w:p>
        </w:tc>
        <w:tc>
          <w:tcPr>
            <w:tcW w:w="6208" w:type="dxa"/>
            <w:vAlign w:val="center"/>
          </w:tcPr>
          <w:p w14:paraId="278CE443">
            <w:pPr>
              <w:widowControl/>
              <w:spacing w:line="36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sz w:val="24"/>
                <w:szCs w:val="24"/>
              </w:rPr>
              <w:t>以各有效</w:t>
            </w:r>
            <w:r>
              <w:rPr>
                <w:rFonts w:hint="eastAsia" w:ascii="仿宋_GB2312" w:hAnsi="仿宋_GB2312" w:eastAsia="仿宋_GB2312" w:cs="仿宋_GB2312"/>
                <w:b w:val="0"/>
                <w:bCs/>
                <w:sz w:val="24"/>
                <w:szCs w:val="24"/>
                <w:lang w:eastAsia="zh-CN"/>
              </w:rPr>
              <w:t>投标单位</w:t>
            </w:r>
            <w:r>
              <w:rPr>
                <w:rFonts w:hint="eastAsia" w:ascii="仿宋_GB2312" w:hAnsi="仿宋_GB2312" w:eastAsia="仿宋_GB2312" w:cs="仿宋_GB2312"/>
                <w:b w:val="0"/>
                <w:bCs/>
                <w:sz w:val="24"/>
                <w:szCs w:val="24"/>
              </w:rPr>
              <w:t>的最低报价作为基准价。</w:t>
            </w:r>
          </w:p>
          <w:p w14:paraId="631D94F6">
            <w:pPr>
              <w:widowControl/>
              <w:spacing w:line="36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sz w:val="24"/>
                <w:szCs w:val="24"/>
              </w:rPr>
              <w:t>评审价等于基准价，得分为20分；评审价每高于基准价1%，报价得分扣减0.1分；不足1%按实际比例计算，减至0分为止。</w:t>
            </w:r>
          </w:p>
          <w:p w14:paraId="00E88B2C">
            <w:pPr>
              <w:widowControl/>
              <w:spacing w:line="36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sz w:val="24"/>
                <w:szCs w:val="24"/>
              </w:rPr>
              <w:t>计算公式：</w:t>
            </w:r>
            <w:bookmarkStart w:id="3" w:name="OLE_LINK22"/>
            <w:r>
              <w:rPr>
                <w:rFonts w:hint="eastAsia" w:ascii="仿宋_GB2312" w:hAnsi="仿宋_GB2312" w:eastAsia="仿宋_GB2312" w:cs="仿宋_GB2312"/>
                <w:b w:val="0"/>
                <w:bCs/>
                <w:sz w:val="24"/>
                <w:szCs w:val="24"/>
              </w:rPr>
              <w:t>价格得分=20-[(报价/基准价-1)×100×0.1]</w:t>
            </w:r>
            <w:bookmarkEnd w:id="3"/>
            <w:r>
              <w:rPr>
                <w:rFonts w:hint="eastAsia" w:ascii="仿宋_GB2312" w:hAnsi="仿宋_GB2312" w:eastAsia="仿宋_GB2312" w:cs="仿宋_GB2312"/>
                <w:b w:val="0"/>
                <w:bCs/>
                <w:sz w:val="24"/>
                <w:szCs w:val="24"/>
              </w:rPr>
              <w:t>；</w:t>
            </w:r>
          </w:p>
          <w:p w14:paraId="742FB660">
            <w:pPr>
              <w:widowControl/>
              <w:spacing w:line="360"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sz w:val="24"/>
                <w:szCs w:val="24"/>
              </w:rPr>
              <w:t>分数出现小数点，保留小数点后二位，第三位小数四舍五入。</w:t>
            </w:r>
          </w:p>
        </w:tc>
        <w:tc>
          <w:tcPr>
            <w:tcW w:w="709" w:type="dxa"/>
            <w:vAlign w:val="center"/>
          </w:tcPr>
          <w:p w14:paraId="65748533">
            <w:pPr>
              <w:widowControl/>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20</w:t>
            </w:r>
          </w:p>
        </w:tc>
      </w:tr>
    </w:tbl>
    <w:p w14:paraId="31D7B1E0">
      <w:pPr>
        <w:spacing w:line="360" w:lineRule="auto"/>
        <w:rPr>
          <w:rFonts w:hint="eastAsia" w:ascii="仿宋_GB2312" w:hAnsi="仿宋_GB2312" w:eastAsia="仿宋_GB2312" w:cs="仿宋_GB2312"/>
          <w:b w:val="0"/>
          <w:bCs/>
          <w:color w:val="000000" w:themeColor="text1"/>
          <w:szCs w:val="21"/>
          <w14:textFill>
            <w14:solidFill>
              <w14:schemeClr w14:val="tx1"/>
            </w14:solidFill>
          </w14:textFill>
        </w:rPr>
      </w:pPr>
    </w:p>
    <w:p w14:paraId="4D8DE89A">
      <w:pPr>
        <w:rPr>
          <w:rFonts w:hint="eastAsia" w:ascii="仿宋_GB2312" w:hAnsi="仿宋_GB2312" w:eastAsia="仿宋_GB2312" w:cs="仿宋_GB2312"/>
          <w:b w:val="0"/>
          <w:bCs/>
        </w:rPr>
      </w:pPr>
    </w:p>
    <w:sectPr>
      <w:footerReference r:id="rId3" w:type="default"/>
      <w:pgSz w:w="11906" w:h="16838"/>
      <w:pgMar w:top="993" w:right="1416"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978"/>
    </w:sdtPr>
    <w:sdtContent>
      <w:p w14:paraId="4560D9FF">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14:paraId="2F97D97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F1702"/>
    <w:multiLevelType w:val="multilevel"/>
    <w:tmpl w:val="2DCF1702"/>
    <w:lvl w:ilvl="0" w:tentative="0">
      <w:start w:val="1"/>
      <w:numFmt w:val="chineseCountingThousand"/>
      <w:pStyle w:val="2"/>
      <w:suff w:val="space"/>
      <w:lvlText w:val="%1、"/>
      <w:lvlJc w:val="left"/>
      <w:pPr>
        <w:ind w:left="425" w:hanging="425"/>
      </w:pPr>
      <w:rPr>
        <w:rFonts w:hint="eastAsia"/>
      </w:rPr>
    </w:lvl>
    <w:lvl w:ilvl="1" w:tentative="0">
      <w:start w:val="1"/>
      <w:numFmt w:val="decimal"/>
      <w:pStyle w:val="3"/>
      <w:isLgl/>
      <w:suff w:val="space"/>
      <w:lvlText w:val="%1.%2"/>
      <w:lvlJc w:val="left"/>
      <w:pPr>
        <w:ind w:left="425" w:hanging="425"/>
      </w:pPr>
      <w:rPr>
        <w:rFonts w:hint="eastAsia"/>
      </w:rPr>
    </w:lvl>
    <w:lvl w:ilvl="2" w:tentative="0">
      <w:start w:val="1"/>
      <w:numFmt w:val="decimal"/>
      <w:pStyle w:val="4"/>
      <w:isLgl/>
      <w:suff w:val="space"/>
      <w:lvlText w:val="%1.%2.%3"/>
      <w:lvlJc w:val="left"/>
      <w:pPr>
        <w:ind w:left="425" w:hanging="425"/>
      </w:pPr>
      <w:rPr>
        <w:rFonts w:hint="eastAsia"/>
      </w:rPr>
    </w:lvl>
    <w:lvl w:ilvl="3" w:tentative="0">
      <w:start w:val="1"/>
      <w:numFmt w:val="decimal"/>
      <w:pStyle w:val="5"/>
      <w:isLgl/>
      <w:suff w:val="space"/>
      <w:lvlText w:val="%1.%2.%3.%4"/>
      <w:lvlJc w:val="left"/>
      <w:pPr>
        <w:ind w:left="425" w:hanging="425"/>
      </w:pPr>
      <w:rPr>
        <w:rFonts w:hint="eastAsia"/>
      </w:rPr>
    </w:lvl>
    <w:lvl w:ilvl="4" w:tentative="0">
      <w:start w:val="1"/>
      <w:numFmt w:val="decimal"/>
      <w:isLgl/>
      <w:suff w:val="space"/>
      <w:lvlText w:val="%1.%2.%3.%4.%5"/>
      <w:lvlJc w:val="left"/>
      <w:pPr>
        <w:ind w:left="425" w:hanging="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2Q4ODJhMjcyNzA4NTAwM2U1MjVhMWRkZWYzNGYifQ=="/>
  </w:docVars>
  <w:rsids>
    <w:rsidRoot w:val="00000000"/>
    <w:rsid w:val="008D138C"/>
    <w:rsid w:val="009E70F5"/>
    <w:rsid w:val="00AB1812"/>
    <w:rsid w:val="00FB2B5A"/>
    <w:rsid w:val="0160261F"/>
    <w:rsid w:val="019422A6"/>
    <w:rsid w:val="01CC5EE4"/>
    <w:rsid w:val="01D5185D"/>
    <w:rsid w:val="02021905"/>
    <w:rsid w:val="026A2B78"/>
    <w:rsid w:val="02C548EC"/>
    <w:rsid w:val="02EF77E1"/>
    <w:rsid w:val="03D65BC3"/>
    <w:rsid w:val="03F318D3"/>
    <w:rsid w:val="0401729D"/>
    <w:rsid w:val="04253F8F"/>
    <w:rsid w:val="04B8274F"/>
    <w:rsid w:val="04C2712A"/>
    <w:rsid w:val="04CB7FEB"/>
    <w:rsid w:val="04CF69F1"/>
    <w:rsid w:val="0579711A"/>
    <w:rsid w:val="05885E20"/>
    <w:rsid w:val="06456265"/>
    <w:rsid w:val="06897EFF"/>
    <w:rsid w:val="06943BE7"/>
    <w:rsid w:val="06F3462A"/>
    <w:rsid w:val="081B54CF"/>
    <w:rsid w:val="084A2E08"/>
    <w:rsid w:val="08587252"/>
    <w:rsid w:val="085E53BC"/>
    <w:rsid w:val="0898267C"/>
    <w:rsid w:val="08BA4CE8"/>
    <w:rsid w:val="090B72F2"/>
    <w:rsid w:val="094748D9"/>
    <w:rsid w:val="09BB76AA"/>
    <w:rsid w:val="09D00C34"/>
    <w:rsid w:val="09ED3AD6"/>
    <w:rsid w:val="0A073F5D"/>
    <w:rsid w:val="0A0F4BBF"/>
    <w:rsid w:val="0AD11215"/>
    <w:rsid w:val="0B3C7C36"/>
    <w:rsid w:val="0B542123"/>
    <w:rsid w:val="0B7A7000"/>
    <w:rsid w:val="0C2D26E3"/>
    <w:rsid w:val="0C6205EE"/>
    <w:rsid w:val="0C820A5E"/>
    <w:rsid w:val="0C8F3D96"/>
    <w:rsid w:val="0D3C03A1"/>
    <w:rsid w:val="0D9A0C44"/>
    <w:rsid w:val="0DCB34F3"/>
    <w:rsid w:val="0DDF2AFB"/>
    <w:rsid w:val="0E020310"/>
    <w:rsid w:val="0E241881"/>
    <w:rsid w:val="0E8B09EC"/>
    <w:rsid w:val="0EE93753"/>
    <w:rsid w:val="0F302661"/>
    <w:rsid w:val="0F355C93"/>
    <w:rsid w:val="0F657030"/>
    <w:rsid w:val="0F6C6610"/>
    <w:rsid w:val="0FBC7598"/>
    <w:rsid w:val="10337AA3"/>
    <w:rsid w:val="10354C54"/>
    <w:rsid w:val="103E61FE"/>
    <w:rsid w:val="10427D6F"/>
    <w:rsid w:val="10596B94"/>
    <w:rsid w:val="10AE35A2"/>
    <w:rsid w:val="10F36FE9"/>
    <w:rsid w:val="111071DE"/>
    <w:rsid w:val="116D4501"/>
    <w:rsid w:val="11DA3D05"/>
    <w:rsid w:val="12A32D1F"/>
    <w:rsid w:val="12BA2945"/>
    <w:rsid w:val="12E070F9"/>
    <w:rsid w:val="12EA7F78"/>
    <w:rsid w:val="13141D5A"/>
    <w:rsid w:val="13236AF1"/>
    <w:rsid w:val="132A143C"/>
    <w:rsid w:val="136F1CA1"/>
    <w:rsid w:val="13B412C3"/>
    <w:rsid w:val="13B73509"/>
    <w:rsid w:val="13CA1B57"/>
    <w:rsid w:val="13D46914"/>
    <w:rsid w:val="13FE555A"/>
    <w:rsid w:val="14B22D17"/>
    <w:rsid w:val="154871D8"/>
    <w:rsid w:val="15875A4B"/>
    <w:rsid w:val="169D0492"/>
    <w:rsid w:val="16B234A2"/>
    <w:rsid w:val="16DD1801"/>
    <w:rsid w:val="16E11692"/>
    <w:rsid w:val="172D4F29"/>
    <w:rsid w:val="17516B1B"/>
    <w:rsid w:val="182868AE"/>
    <w:rsid w:val="186802BC"/>
    <w:rsid w:val="1874230E"/>
    <w:rsid w:val="18D14F8A"/>
    <w:rsid w:val="19004393"/>
    <w:rsid w:val="19045981"/>
    <w:rsid w:val="193A32DB"/>
    <w:rsid w:val="194A7C8B"/>
    <w:rsid w:val="19CC27E2"/>
    <w:rsid w:val="19E73463"/>
    <w:rsid w:val="19EC6CCB"/>
    <w:rsid w:val="19F4792E"/>
    <w:rsid w:val="19F64069"/>
    <w:rsid w:val="1A190AEF"/>
    <w:rsid w:val="1A273DF6"/>
    <w:rsid w:val="1AAA4C6E"/>
    <w:rsid w:val="1AF2106E"/>
    <w:rsid w:val="1AF70C4B"/>
    <w:rsid w:val="1AF75928"/>
    <w:rsid w:val="1AF91F50"/>
    <w:rsid w:val="1B884B1B"/>
    <w:rsid w:val="1C183DA8"/>
    <w:rsid w:val="1C2E56C5"/>
    <w:rsid w:val="1C4943A3"/>
    <w:rsid w:val="1CA76EDA"/>
    <w:rsid w:val="1CD6156D"/>
    <w:rsid w:val="1D1741C2"/>
    <w:rsid w:val="1D535AA1"/>
    <w:rsid w:val="1D660B43"/>
    <w:rsid w:val="1DF148B0"/>
    <w:rsid w:val="1DF779ED"/>
    <w:rsid w:val="1E025426"/>
    <w:rsid w:val="1F51312D"/>
    <w:rsid w:val="1F5C3FAB"/>
    <w:rsid w:val="1FA0658E"/>
    <w:rsid w:val="1FD46237"/>
    <w:rsid w:val="201E1010"/>
    <w:rsid w:val="202F6C59"/>
    <w:rsid w:val="20B523B5"/>
    <w:rsid w:val="20B816B5"/>
    <w:rsid w:val="20EE3329"/>
    <w:rsid w:val="20FD356C"/>
    <w:rsid w:val="21004E0A"/>
    <w:rsid w:val="2114232A"/>
    <w:rsid w:val="212C60E2"/>
    <w:rsid w:val="21486EDD"/>
    <w:rsid w:val="215634F2"/>
    <w:rsid w:val="218D763F"/>
    <w:rsid w:val="218D7E9A"/>
    <w:rsid w:val="219D5F36"/>
    <w:rsid w:val="21B030F1"/>
    <w:rsid w:val="221C5C74"/>
    <w:rsid w:val="22883309"/>
    <w:rsid w:val="22C66BBF"/>
    <w:rsid w:val="23B735DA"/>
    <w:rsid w:val="23C04937"/>
    <w:rsid w:val="24081D05"/>
    <w:rsid w:val="242F1AF6"/>
    <w:rsid w:val="249E6AF6"/>
    <w:rsid w:val="24D12D46"/>
    <w:rsid w:val="24F00D05"/>
    <w:rsid w:val="2530157D"/>
    <w:rsid w:val="256C23F4"/>
    <w:rsid w:val="25D5565D"/>
    <w:rsid w:val="25DB4634"/>
    <w:rsid w:val="260809E9"/>
    <w:rsid w:val="2644734D"/>
    <w:rsid w:val="268F4C66"/>
    <w:rsid w:val="26AC2D80"/>
    <w:rsid w:val="27101411"/>
    <w:rsid w:val="27677991"/>
    <w:rsid w:val="27781B9E"/>
    <w:rsid w:val="27A6495D"/>
    <w:rsid w:val="27D24D61"/>
    <w:rsid w:val="27D55CE6"/>
    <w:rsid w:val="27E126E5"/>
    <w:rsid w:val="28212236"/>
    <w:rsid w:val="28500425"/>
    <w:rsid w:val="28DD1D9B"/>
    <w:rsid w:val="2987431B"/>
    <w:rsid w:val="298E08BA"/>
    <w:rsid w:val="299E6E12"/>
    <w:rsid w:val="29B45500"/>
    <w:rsid w:val="2A21557C"/>
    <w:rsid w:val="2AD92954"/>
    <w:rsid w:val="2AE930F5"/>
    <w:rsid w:val="2AF6240B"/>
    <w:rsid w:val="2B053749"/>
    <w:rsid w:val="2B2F77BD"/>
    <w:rsid w:val="2B882BB9"/>
    <w:rsid w:val="2BB205C0"/>
    <w:rsid w:val="2C414C55"/>
    <w:rsid w:val="2C6C4D44"/>
    <w:rsid w:val="2D1934DC"/>
    <w:rsid w:val="2D36293A"/>
    <w:rsid w:val="2DB11493"/>
    <w:rsid w:val="2DF9334D"/>
    <w:rsid w:val="2E175F35"/>
    <w:rsid w:val="2EAE6CA3"/>
    <w:rsid w:val="2F2D326E"/>
    <w:rsid w:val="2F3565C7"/>
    <w:rsid w:val="2FDE6441"/>
    <w:rsid w:val="2FFB336C"/>
    <w:rsid w:val="302A5A00"/>
    <w:rsid w:val="304445D6"/>
    <w:rsid w:val="307D6FD5"/>
    <w:rsid w:val="30A14B55"/>
    <w:rsid w:val="31061FC9"/>
    <w:rsid w:val="314D19A6"/>
    <w:rsid w:val="316E7B6E"/>
    <w:rsid w:val="31740730"/>
    <w:rsid w:val="31740A71"/>
    <w:rsid w:val="322E543B"/>
    <w:rsid w:val="3267118D"/>
    <w:rsid w:val="32750E7D"/>
    <w:rsid w:val="32AE4226"/>
    <w:rsid w:val="32CB6763"/>
    <w:rsid w:val="32EB506E"/>
    <w:rsid w:val="32EE219B"/>
    <w:rsid w:val="32FE0237"/>
    <w:rsid w:val="330B1B18"/>
    <w:rsid w:val="33354DE7"/>
    <w:rsid w:val="333A41AC"/>
    <w:rsid w:val="335A6C7C"/>
    <w:rsid w:val="33BC4A5B"/>
    <w:rsid w:val="33F34EED"/>
    <w:rsid w:val="34313801"/>
    <w:rsid w:val="343E5AFD"/>
    <w:rsid w:val="344F48FA"/>
    <w:rsid w:val="345507E9"/>
    <w:rsid w:val="34B65AB4"/>
    <w:rsid w:val="35380BBF"/>
    <w:rsid w:val="35446C9F"/>
    <w:rsid w:val="356D6ABA"/>
    <w:rsid w:val="359F5991"/>
    <w:rsid w:val="366436D1"/>
    <w:rsid w:val="36ED5D04"/>
    <w:rsid w:val="372E3495"/>
    <w:rsid w:val="37673A15"/>
    <w:rsid w:val="376C4F8C"/>
    <w:rsid w:val="378A19BB"/>
    <w:rsid w:val="37D310E2"/>
    <w:rsid w:val="38521F98"/>
    <w:rsid w:val="387B3137"/>
    <w:rsid w:val="39060B1C"/>
    <w:rsid w:val="39317DFF"/>
    <w:rsid w:val="394E275F"/>
    <w:rsid w:val="39513FFD"/>
    <w:rsid w:val="39DC5FBD"/>
    <w:rsid w:val="39FF2A65"/>
    <w:rsid w:val="3A455684"/>
    <w:rsid w:val="3A9318CD"/>
    <w:rsid w:val="3AD354E6"/>
    <w:rsid w:val="3B81506E"/>
    <w:rsid w:val="3C656D84"/>
    <w:rsid w:val="3CAB69EC"/>
    <w:rsid w:val="3CCD4F79"/>
    <w:rsid w:val="3D1F027B"/>
    <w:rsid w:val="3D90570D"/>
    <w:rsid w:val="3DC810EA"/>
    <w:rsid w:val="3E5C147A"/>
    <w:rsid w:val="3E95498C"/>
    <w:rsid w:val="3F333BBF"/>
    <w:rsid w:val="3F4B2C2A"/>
    <w:rsid w:val="3F8B66FA"/>
    <w:rsid w:val="3F8F215A"/>
    <w:rsid w:val="40222EEE"/>
    <w:rsid w:val="40523EE0"/>
    <w:rsid w:val="405E73F5"/>
    <w:rsid w:val="40684965"/>
    <w:rsid w:val="40A37834"/>
    <w:rsid w:val="40BF3F42"/>
    <w:rsid w:val="41032BC2"/>
    <w:rsid w:val="413B2951"/>
    <w:rsid w:val="41432DC5"/>
    <w:rsid w:val="419E58AE"/>
    <w:rsid w:val="41C25840"/>
    <w:rsid w:val="41F06AA9"/>
    <w:rsid w:val="41F37EC0"/>
    <w:rsid w:val="42142534"/>
    <w:rsid w:val="427D5E63"/>
    <w:rsid w:val="42935686"/>
    <w:rsid w:val="42DA60A2"/>
    <w:rsid w:val="43597767"/>
    <w:rsid w:val="437B23A2"/>
    <w:rsid w:val="43C76B41"/>
    <w:rsid w:val="43F42155"/>
    <w:rsid w:val="4438014F"/>
    <w:rsid w:val="443E77B2"/>
    <w:rsid w:val="445C6678"/>
    <w:rsid w:val="449C2E3C"/>
    <w:rsid w:val="44C24DAC"/>
    <w:rsid w:val="44FA3744"/>
    <w:rsid w:val="450A6A2F"/>
    <w:rsid w:val="451A3F70"/>
    <w:rsid w:val="452B420A"/>
    <w:rsid w:val="45BB65E9"/>
    <w:rsid w:val="45DE4E6B"/>
    <w:rsid w:val="4677696F"/>
    <w:rsid w:val="467C28B2"/>
    <w:rsid w:val="46D00C57"/>
    <w:rsid w:val="46E26C7C"/>
    <w:rsid w:val="47A9421E"/>
    <w:rsid w:val="48385C18"/>
    <w:rsid w:val="48575F0F"/>
    <w:rsid w:val="485D11DF"/>
    <w:rsid w:val="48BA4973"/>
    <w:rsid w:val="48D03190"/>
    <w:rsid w:val="48DF1625"/>
    <w:rsid w:val="49863D09"/>
    <w:rsid w:val="49E113CD"/>
    <w:rsid w:val="49F53598"/>
    <w:rsid w:val="4A1470AD"/>
    <w:rsid w:val="4A7E72E8"/>
    <w:rsid w:val="4A9B189D"/>
    <w:rsid w:val="4ABF6BB2"/>
    <w:rsid w:val="4AC24D5B"/>
    <w:rsid w:val="4B2C0426"/>
    <w:rsid w:val="4B2C51A4"/>
    <w:rsid w:val="4B2C55EA"/>
    <w:rsid w:val="4B92138F"/>
    <w:rsid w:val="4C26537C"/>
    <w:rsid w:val="4C2D26A8"/>
    <w:rsid w:val="4C663BE7"/>
    <w:rsid w:val="4C8147A2"/>
    <w:rsid w:val="4CBE7DA2"/>
    <w:rsid w:val="4CF15B62"/>
    <w:rsid w:val="4D0C6761"/>
    <w:rsid w:val="4D2717ED"/>
    <w:rsid w:val="4D9C5D37"/>
    <w:rsid w:val="4DDA28FC"/>
    <w:rsid w:val="4E177D2B"/>
    <w:rsid w:val="4E7613C9"/>
    <w:rsid w:val="4E8F764A"/>
    <w:rsid w:val="4ED83404"/>
    <w:rsid w:val="4F290E6D"/>
    <w:rsid w:val="4F5543EF"/>
    <w:rsid w:val="502344EE"/>
    <w:rsid w:val="50370738"/>
    <w:rsid w:val="50454464"/>
    <w:rsid w:val="506C0F34"/>
    <w:rsid w:val="50AD2009"/>
    <w:rsid w:val="510F2848"/>
    <w:rsid w:val="513015C2"/>
    <w:rsid w:val="517B61BE"/>
    <w:rsid w:val="51986815"/>
    <w:rsid w:val="526C4DBF"/>
    <w:rsid w:val="532F77FD"/>
    <w:rsid w:val="533254A4"/>
    <w:rsid w:val="533A7AA5"/>
    <w:rsid w:val="53404825"/>
    <w:rsid w:val="53446D6F"/>
    <w:rsid w:val="53682217"/>
    <w:rsid w:val="538452A3"/>
    <w:rsid w:val="539F3E8B"/>
    <w:rsid w:val="53A54884"/>
    <w:rsid w:val="53DD7F26"/>
    <w:rsid w:val="5436765D"/>
    <w:rsid w:val="545E3D46"/>
    <w:rsid w:val="54D13CB7"/>
    <w:rsid w:val="55D212DB"/>
    <w:rsid w:val="55FF30A4"/>
    <w:rsid w:val="5631151D"/>
    <w:rsid w:val="56C43C09"/>
    <w:rsid w:val="571B5F1F"/>
    <w:rsid w:val="571E77BD"/>
    <w:rsid w:val="582374E3"/>
    <w:rsid w:val="58421289"/>
    <w:rsid w:val="58782F40"/>
    <w:rsid w:val="58A67F87"/>
    <w:rsid w:val="592A3A69"/>
    <w:rsid w:val="59777658"/>
    <w:rsid w:val="597C6A1D"/>
    <w:rsid w:val="59D2488F"/>
    <w:rsid w:val="59FA69C8"/>
    <w:rsid w:val="5A067FCF"/>
    <w:rsid w:val="5A124E8B"/>
    <w:rsid w:val="5A66425D"/>
    <w:rsid w:val="5A9102A6"/>
    <w:rsid w:val="5ACD622B"/>
    <w:rsid w:val="5AD14C4C"/>
    <w:rsid w:val="5B3452A4"/>
    <w:rsid w:val="5BD7618C"/>
    <w:rsid w:val="5C60789B"/>
    <w:rsid w:val="5C677226"/>
    <w:rsid w:val="5CE7687A"/>
    <w:rsid w:val="5D0019A2"/>
    <w:rsid w:val="5D081B2B"/>
    <w:rsid w:val="5D4E7523"/>
    <w:rsid w:val="5DBE13B2"/>
    <w:rsid w:val="5E1C4F9F"/>
    <w:rsid w:val="5E6D1EF9"/>
    <w:rsid w:val="5EB6477F"/>
    <w:rsid w:val="5F34063D"/>
    <w:rsid w:val="60597AB8"/>
    <w:rsid w:val="605F7014"/>
    <w:rsid w:val="60BA4159"/>
    <w:rsid w:val="60F8107F"/>
    <w:rsid w:val="61016604"/>
    <w:rsid w:val="61401B99"/>
    <w:rsid w:val="618854ED"/>
    <w:rsid w:val="61D87997"/>
    <w:rsid w:val="62775FD3"/>
    <w:rsid w:val="62855A8B"/>
    <w:rsid w:val="6292105F"/>
    <w:rsid w:val="62A328E3"/>
    <w:rsid w:val="63205730"/>
    <w:rsid w:val="63710DF7"/>
    <w:rsid w:val="639C3F43"/>
    <w:rsid w:val="63C95EAD"/>
    <w:rsid w:val="63D8165B"/>
    <w:rsid w:val="64095C80"/>
    <w:rsid w:val="6458542D"/>
    <w:rsid w:val="64837576"/>
    <w:rsid w:val="64E25391"/>
    <w:rsid w:val="652F0DE7"/>
    <w:rsid w:val="655A40B6"/>
    <w:rsid w:val="657A208C"/>
    <w:rsid w:val="65847385"/>
    <w:rsid w:val="659D7CC2"/>
    <w:rsid w:val="65AB4911"/>
    <w:rsid w:val="65B80DDC"/>
    <w:rsid w:val="6618540E"/>
    <w:rsid w:val="66FB71D3"/>
    <w:rsid w:val="67362886"/>
    <w:rsid w:val="67425DF4"/>
    <w:rsid w:val="67734619"/>
    <w:rsid w:val="6846612D"/>
    <w:rsid w:val="687816B0"/>
    <w:rsid w:val="68F55EA4"/>
    <w:rsid w:val="691A3321"/>
    <w:rsid w:val="69587AA6"/>
    <w:rsid w:val="697020C8"/>
    <w:rsid w:val="69FC1BE0"/>
    <w:rsid w:val="69FF7C37"/>
    <w:rsid w:val="6A4E3ABD"/>
    <w:rsid w:val="6A590DE0"/>
    <w:rsid w:val="6AC975E8"/>
    <w:rsid w:val="6B034621"/>
    <w:rsid w:val="6B276482"/>
    <w:rsid w:val="6B2A44E1"/>
    <w:rsid w:val="6BFF7765"/>
    <w:rsid w:val="6C734B62"/>
    <w:rsid w:val="6C895281"/>
    <w:rsid w:val="6C9A56E0"/>
    <w:rsid w:val="6CF24094"/>
    <w:rsid w:val="6CF54C36"/>
    <w:rsid w:val="6D170ADE"/>
    <w:rsid w:val="6D580BED"/>
    <w:rsid w:val="6D617FAC"/>
    <w:rsid w:val="6D797F8F"/>
    <w:rsid w:val="6D9263B7"/>
    <w:rsid w:val="6DDF2A8F"/>
    <w:rsid w:val="6DF1016C"/>
    <w:rsid w:val="6E0D4219"/>
    <w:rsid w:val="6E3661E1"/>
    <w:rsid w:val="6E535B46"/>
    <w:rsid w:val="6E69536A"/>
    <w:rsid w:val="6E7603C5"/>
    <w:rsid w:val="6E942BF6"/>
    <w:rsid w:val="6F3757AB"/>
    <w:rsid w:val="6F6338EA"/>
    <w:rsid w:val="6F765F90"/>
    <w:rsid w:val="6F915312"/>
    <w:rsid w:val="6FE50B63"/>
    <w:rsid w:val="7019720C"/>
    <w:rsid w:val="702C5898"/>
    <w:rsid w:val="70497287"/>
    <w:rsid w:val="70593DDE"/>
    <w:rsid w:val="70AD75A8"/>
    <w:rsid w:val="70BF74C3"/>
    <w:rsid w:val="711F7F62"/>
    <w:rsid w:val="71EC078C"/>
    <w:rsid w:val="72B8241C"/>
    <w:rsid w:val="72DF5BFA"/>
    <w:rsid w:val="73102258"/>
    <w:rsid w:val="736B099E"/>
    <w:rsid w:val="73D2750D"/>
    <w:rsid w:val="74171171"/>
    <w:rsid w:val="744321B9"/>
    <w:rsid w:val="7455116B"/>
    <w:rsid w:val="74884354"/>
    <w:rsid w:val="751F4B34"/>
    <w:rsid w:val="753E10E9"/>
    <w:rsid w:val="754B57C9"/>
    <w:rsid w:val="75B07D22"/>
    <w:rsid w:val="75CC2097"/>
    <w:rsid w:val="77A47413"/>
    <w:rsid w:val="77B27D81"/>
    <w:rsid w:val="77D9530E"/>
    <w:rsid w:val="795A4FC9"/>
    <w:rsid w:val="7967694A"/>
    <w:rsid w:val="79D25B3A"/>
    <w:rsid w:val="7A036672"/>
    <w:rsid w:val="7A1C6027"/>
    <w:rsid w:val="7A66105B"/>
    <w:rsid w:val="7B2965AD"/>
    <w:rsid w:val="7B625A7B"/>
    <w:rsid w:val="7BA06143"/>
    <w:rsid w:val="7BEA24DC"/>
    <w:rsid w:val="7C1D7794"/>
    <w:rsid w:val="7C6B04AB"/>
    <w:rsid w:val="7C7F110C"/>
    <w:rsid w:val="7CB77BE8"/>
    <w:rsid w:val="7CCB74E1"/>
    <w:rsid w:val="7D2221D8"/>
    <w:rsid w:val="7D701619"/>
    <w:rsid w:val="7D805DF5"/>
    <w:rsid w:val="7D813877"/>
    <w:rsid w:val="7DBD4F68"/>
    <w:rsid w:val="7DD24CD9"/>
    <w:rsid w:val="7E176B90"/>
    <w:rsid w:val="7E21444A"/>
    <w:rsid w:val="7E6815D7"/>
    <w:rsid w:val="7E6C2038"/>
    <w:rsid w:val="7E843AFA"/>
    <w:rsid w:val="7E870BA6"/>
    <w:rsid w:val="7EB54DE5"/>
    <w:rsid w:val="7F762A2D"/>
    <w:rsid w:val="7FDF548C"/>
    <w:rsid w:val="7FFE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30"/>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eastAsia="宋体" w:asciiTheme="majorHAnsi" w:hAnsiTheme="majorHAnsi" w:cstheme="majorBidi"/>
      <w:b/>
      <w:bCs/>
      <w:sz w:val="28"/>
      <w:szCs w:val="32"/>
    </w:rPr>
  </w:style>
  <w:style w:type="paragraph" w:styleId="4">
    <w:name w:val="heading 3"/>
    <w:basedOn w:val="1"/>
    <w:next w:val="1"/>
    <w:qFormat/>
    <w:uiPriority w:val="0"/>
    <w:pPr>
      <w:keepNext/>
      <w:keepLines/>
      <w:numPr>
        <w:ilvl w:val="2"/>
        <w:numId w:val="1"/>
      </w:numPr>
      <w:spacing w:before="260" w:after="260" w:line="415" w:lineRule="auto"/>
      <w:outlineLvl w:val="2"/>
    </w:pPr>
    <w:rPr>
      <w:rFonts w:ascii="Times New Roman" w:hAnsi="Times New Roman" w:eastAsia="宋体" w:cs="Times New Roman"/>
      <w:b/>
      <w:bCs/>
      <w:sz w:val="28"/>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Plain Text"/>
    <w:basedOn w:val="1"/>
    <w:qFormat/>
    <w:uiPriority w:val="0"/>
    <w:rPr>
      <w:rFonts w:ascii="宋体" w:hAnsi="Courier New" w:eastAsia="宋体"/>
      <w14:ligatures w14:val="standardContextual"/>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sample1"/>
    <w:autoRedefine/>
    <w:qFormat/>
    <w:uiPriority w:val="0"/>
    <w:rPr>
      <w:sz w:val="20"/>
      <w:szCs w:val="20"/>
    </w:rPr>
  </w:style>
  <w:style w:type="paragraph" w:customStyle="1" w:styleId="16">
    <w:name w:val="列表段落1"/>
    <w:basedOn w:val="1"/>
    <w:qFormat/>
    <w:uiPriority w:val="99"/>
    <w:pPr>
      <w:ind w:firstLine="420" w:firstLineChars="200"/>
    </w:pPr>
  </w:style>
  <w:style w:type="paragraph" w:customStyle="1" w:styleId="17">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qFormat/>
    <w:uiPriority w:val="34"/>
    <w:pPr>
      <w:ind w:firstLine="420" w:firstLineChars="200"/>
    </w:pPr>
  </w:style>
  <w:style w:type="paragraph" w:customStyle="1" w:styleId="19">
    <w:name w:val="正文_2"/>
    <w:qFormat/>
    <w:uiPriority w:val="0"/>
    <w:pPr>
      <w:widowControl w:val="0"/>
      <w:jc w:val="both"/>
    </w:pPr>
    <w:rPr>
      <w:rFonts w:ascii="Calibri" w:hAnsi="Calibri"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1821</Words>
  <Characters>1974</Characters>
  <Lines>0</Lines>
  <Paragraphs>0</Paragraphs>
  <TotalTime>0</TotalTime>
  <ScaleCrop>false</ScaleCrop>
  <LinksUpToDate>false</LinksUpToDate>
  <CharactersWithSpaces>1982</CharactersWithSpaces>
  <Application>WPS Office_12.8.2.17122_F1E327BC-269C-435d-A152-05C5408002CA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2021-12-13T06:54:00Z</dcterms:created>
  <dc:creator>admin</dc:creator>
  <cp:lastModifiedBy>L＆Y</cp:lastModifiedBy>
  <dcterms:modified xsi:type="dcterms:W3CDTF">2025-07-22T01:53:12Z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2052-12.8.2.17122</vt:lpwstr>
  </property>
  <property fmtid="{D5CDD505-2E9C-101B-9397-08002B2CF9AE}" pid="3" name="ICV">
    <vt:lpwstr>3F3AC9D9EBA542B0946D9AAE258D3B42</vt:lpwstr>
  </property>
</Properties>
</file>