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40" w:lineRule="exact"/>
        <w:ind w:left="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南方财经全媒体集团</w:t>
      </w:r>
    </w:p>
    <w:p>
      <w:pPr>
        <w:keepNext w:val="0"/>
        <w:keepLines w:val="0"/>
        <w:pageBreakBefore w:val="0"/>
        <w:widowControl/>
        <w:kinsoku/>
        <w:wordWrap/>
        <w:overflowPunct/>
        <w:topLinePunct w:val="0"/>
        <w:autoSpaceDE/>
        <w:autoSpaceDN/>
        <w:bidi w:val="0"/>
        <w:adjustRightInd/>
        <w:snapToGrid/>
        <w:spacing w:line="640" w:lineRule="exact"/>
        <w:ind w:left="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2025年网络安全保障服务</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项目询价公告</w:t>
      </w:r>
    </w:p>
    <w:p>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eastAsia" w:ascii="黑体" w:hAnsi="黑体" w:eastAsia="黑体" w:cs="黑体"/>
          <w:b w:val="0"/>
          <w:bCs w:val="0"/>
          <w:color w:val="000000"/>
          <w:sz w:val="32"/>
          <w:szCs w:val="32"/>
        </w:rPr>
      </w:pPr>
      <w:r>
        <w:rPr>
          <w:rStyle w:val="8"/>
          <w:rFonts w:hint="eastAsia" w:ascii="黑体" w:hAnsi="黑体" w:eastAsia="黑体" w:cs="黑体"/>
          <w:b w:val="0"/>
          <w:bCs w:val="0"/>
          <w:color w:val="000000"/>
          <w:sz w:val="32"/>
          <w:szCs w:val="32"/>
        </w:rPr>
        <w:t>一、项目名称</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4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南方财经全媒体集团2025年网络安全保障服务</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40" w:lineRule="exact"/>
        <w:textAlignment w:val="auto"/>
        <w:rPr>
          <w:rFonts w:hint="eastAsia" w:ascii="仿宋_GB2312" w:hAnsi="仿宋_GB2312" w:eastAsia="仿宋_GB2312" w:cs="仿宋_GB2312"/>
          <w:color w:val="000000"/>
          <w:sz w:val="32"/>
          <w:szCs w:val="32"/>
        </w:rPr>
      </w:pPr>
      <w:r>
        <w:rPr>
          <w:rStyle w:val="8"/>
          <w:rFonts w:hint="eastAsia" w:ascii="仿宋_GB2312" w:hAnsi="仿宋_GB2312" w:eastAsia="仿宋_GB2312" w:cs="仿宋_GB2312"/>
          <w:color w:val="000000"/>
          <w:sz w:val="32"/>
          <w:szCs w:val="32"/>
        </w:rPr>
        <w:t>　　</w:t>
      </w:r>
      <w:r>
        <w:rPr>
          <w:rStyle w:val="8"/>
          <w:rFonts w:hint="eastAsia" w:ascii="黑体" w:hAnsi="黑体" w:eastAsia="黑体" w:cs="黑体"/>
          <w:b w:val="0"/>
          <w:bCs w:val="0"/>
          <w:color w:val="000000"/>
          <w:sz w:val="32"/>
          <w:szCs w:val="32"/>
        </w:rPr>
        <w:t>二、采购内容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根据集团的需求和授权开展</w:t>
      </w:r>
      <w:r>
        <w:rPr>
          <w:rFonts w:hint="default" w:ascii="Times New Roman" w:hAnsi="Times New Roman" w:eastAsia="仿宋_GB2312" w:cs="Times New Roman"/>
          <w:sz w:val="34"/>
          <w:szCs w:val="34"/>
        </w:rPr>
        <w:t>应</w:t>
      </w:r>
      <w:r>
        <w:rPr>
          <w:rFonts w:hint="eastAsia" w:ascii="仿宋_GB2312" w:hAnsi="仿宋_GB2312" w:eastAsia="仿宋_GB2312" w:cs="仿宋_GB2312"/>
          <w:sz w:val="32"/>
          <w:szCs w:val="32"/>
        </w:rPr>
        <w:t>急预案安全检测（全年1次）、15个信息系统的漏洞扫描与渗透测试、5个重保期安全监控及全年2次应急响应服务</w:t>
      </w:r>
      <w:r>
        <w:rPr>
          <w:rFonts w:hint="eastAsia" w:ascii="仿宋_GB2312" w:hAnsi="仿宋_GB2312" w:eastAsia="仿宋_GB2312" w:cs="仿宋_GB2312"/>
          <w:sz w:val="32"/>
          <w:szCs w:val="32"/>
          <w:lang w:val="en-US" w:eastAsia="zh-CN"/>
        </w:rPr>
        <w:t>：</w:t>
      </w:r>
    </w:p>
    <w:tbl>
      <w:tblPr>
        <w:tblStyle w:val="6"/>
        <w:tblpPr w:leftFromText="180" w:rightFromText="180" w:vertAnchor="text" w:horzAnchor="page" w:tblpXSpec="center" w:tblpY="924"/>
        <w:tblOverlap w:val="never"/>
        <w:tblW w:w="8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879"/>
        <w:gridCol w:w="6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8" w:hRule="atLeast"/>
          <w:jc w:val="center"/>
        </w:trPr>
        <w:tc>
          <w:tcPr>
            <w:tcW w:w="87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序号</w:t>
            </w:r>
          </w:p>
        </w:tc>
        <w:tc>
          <w:tcPr>
            <w:tcW w:w="187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服务项</w:t>
            </w:r>
          </w:p>
        </w:tc>
        <w:tc>
          <w:tcPr>
            <w:tcW w:w="602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3" w:hRule="atLeast"/>
          <w:jc w:val="center"/>
        </w:trPr>
        <w:tc>
          <w:tcPr>
            <w:tcW w:w="87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187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应急预案安全检测</w:t>
            </w:r>
          </w:p>
        </w:tc>
        <w:tc>
          <w:tcPr>
            <w:tcW w:w="6029" w:type="dxa"/>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0" w:afterAutospacing="0" w:line="560" w:lineRule="exact"/>
              <w:ind w:leftChars="0" w:right="0" w:rightChars="0"/>
              <w:jc w:val="both"/>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为全面检验集团网络安全应急预案的实际效能，组织专业安全团队在实网环境下开展安全检测工作。本次检测将严格把控检测流程与节奏，确保关键环节风险可控，深入排查潜在的安全风险隐患，进而提升集团在监测预警、分析研判、协同联动及应急处置等方面的实战能力。</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0" w:afterAutospacing="0" w:line="560" w:lineRule="exact"/>
              <w:ind w:leftChars="0" w:right="0" w:rightChars="0"/>
              <w:jc w:val="both"/>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具体实施要求如下：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0" w:afterAutospacing="0" w:line="560" w:lineRule="exact"/>
              <w:ind w:leftChars="0" w:right="0" w:rightChars="0"/>
              <w:jc w:val="both"/>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1.组建一支不少于6人的第三方专业安全检测队伍。配备 1 名项目经理，负责统筹协调整个检测项目。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0" w:afterAutospacing="0" w:line="560" w:lineRule="exact"/>
              <w:ind w:leftChars="0" w:right="0" w:rightChars="0"/>
              <w:jc w:val="both"/>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2.完善配套实施工作，包括对检测人员的背景审查、现场管控措施、科学合理的检测方案制定以及专用设备的配备和平台等。</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0" w:afterAutospacing="0" w:line="560" w:lineRule="exact"/>
              <w:ind w:leftChars="0" w:right="0" w:rightChars="0"/>
              <w:jc w:val="both"/>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3.在检测过程中，包含钓鱼邮件检测环节，以全面评估集团在应对此类新型攻击手段时的防范能力和意识。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0" w:afterAutospacing="0" w:line="560" w:lineRule="exact"/>
              <w:ind w:leftChars="0" w:right="0" w:rightChars="0"/>
              <w:jc w:val="both"/>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4.检测时长计划为两周，确保有充足的时间对各项内容进行深入细致的检测。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jc w:val="center"/>
        </w:trPr>
        <w:tc>
          <w:tcPr>
            <w:tcW w:w="87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w:t>
            </w:r>
          </w:p>
        </w:tc>
        <w:tc>
          <w:tcPr>
            <w:tcW w:w="187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漏洞扫描服务</w:t>
            </w:r>
          </w:p>
        </w:tc>
        <w:tc>
          <w:tcPr>
            <w:tcW w:w="6029" w:type="dxa"/>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0" w:afterAutospacing="0" w:line="560" w:lineRule="exact"/>
              <w:ind w:leftChars="0" w:right="0" w:rightChars="0"/>
              <w:jc w:val="both"/>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针对集团指定15个系统的服务器（含操作系统、数据库、中间件）、网络设备、安全设备等进行漏洞扫描，探测各服务器当前暴露的安全漏洞情况，并提供相关整改建议，开展初测和复测两轮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w:t>
            </w:r>
          </w:p>
        </w:tc>
        <w:tc>
          <w:tcPr>
            <w:tcW w:w="187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渗透测试服务</w:t>
            </w:r>
          </w:p>
        </w:tc>
        <w:tc>
          <w:tcPr>
            <w:tcW w:w="602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在集团授权的前提下，以模拟黑客攻击的方式，对集团指定的</w:t>
            </w:r>
            <w:r>
              <w:rPr>
                <w:rFonts w:hint="eastAsia" w:ascii="仿宋_GB2312" w:hAnsi="仿宋_GB2312" w:eastAsia="仿宋_GB2312" w:cs="仿宋_GB2312"/>
                <w:color w:val="auto"/>
                <w:kern w:val="2"/>
                <w:sz w:val="28"/>
                <w:szCs w:val="28"/>
                <w:vertAlign w:val="baseline"/>
                <w:lang w:val="en-US" w:eastAsia="zh-CN" w:bidi="ar-SA"/>
              </w:rPr>
              <w:t>15个系统</w:t>
            </w:r>
            <w:r>
              <w:rPr>
                <w:rFonts w:hint="eastAsia" w:ascii="仿宋_GB2312" w:hAnsi="仿宋_GB2312" w:eastAsia="仿宋_GB2312" w:cs="仿宋_GB2312"/>
                <w:sz w:val="28"/>
                <w:szCs w:val="28"/>
                <w:lang w:val="en-US" w:eastAsia="zh-CN"/>
              </w:rPr>
              <w:t>业务系统进行全面渗透检测，最终目标是查找系统、网站的安全漏洞和风险隐患，评估网站的安全状态，并提供修复建议。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8" w:hRule="atLeast"/>
          <w:jc w:val="center"/>
        </w:trPr>
        <w:tc>
          <w:tcPr>
            <w:tcW w:w="87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w:t>
            </w:r>
          </w:p>
        </w:tc>
        <w:tc>
          <w:tcPr>
            <w:tcW w:w="187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重保时期安全监控服务</w:t>
            </w:r>
          </w:p>
        </w:tc>
        <w:tc>
          <w:tcPr>
            <w:tcW w:w="602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全年5次重保期服务：</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一.重保前期，提供攻击面监测和资产全面评估服务。</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1. 攻击面监测：通过云扫描引擎，对互联网上的潜在未知资产和不必要开放的资产进行探测和收敛暴露面。</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2. 资产全面评估：通过布控监测agent在关键服务器上，远程扫描等技术手段，发现并协助修复资产安全短板，包括可入侵漏洞、弱口令、配置违规、入侵痕迹排查及处置。</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二. 在重保期间，提供7x24小时的重要业务系统和网站监测、互联网及内网蜜罐诱捕、安全事件应急响应支撑服务。</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 xml:space="preserve">1. 7x24小时对重要站点的漏洞、篡改、黑链、敏感文件、敏感词、网马监测、可用性、域名劫持、网站主机环境进行安全监测。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2. 使用全网蜜罐技术和主机agent监测潜伏在内网的安全威胁、失陷主机、webshell和木马后门等攻击事件。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3. 一旦发现安全事件，马上开展事件研判，事件报告及处置。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870"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w:t>
            </w:r>
          </w:p>
        </w:tc>
        <w:tc>
          <w:tcPr>
            <w:tcW w:w="1879"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应急响应服务</w:t>
            </w:r>
          </w:p>
        </w:tc>
        <w:tc>
          <w:tcPr>
            <w:tcW w:w="6029" w:type="dxa"/>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全年2次应急响应服务，涵盖信息破坏（篡改、泄露、窃取、丢失等）、大规模病毒、网站漏洞等信息安全事件。事件发生时，服务商实时远程技术指导或4小时内现场支援。</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服务具体涵盖以下安全事件类型：勒索病毒、挖矿木马、蠕虫病毒、APT 事件、网站挂马、暗链、篡改、漏洞、数据泄露、DDoS及其他安全事件。</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应急响应人员在发现疑似或确认安全事件时迅速行动，限制事件扩散与影响，控制潜在损失，全面检查受影响系统，精准判定原因，提出整体安全解决方案，排除风险，协助溯源与后续处置，保障信息系统快速恢复，实现最小损失。</w:t>
            </w:r>
          </w:p>
        </w:tc>
      </w:tr>
    </w:tbl>
    <w:p>
      <w:pPr>
        <w:pStyle w:val="4"/>
        <w:shd w:val="clear" w:color="auto" w:fill="FFFFFF"/>
        <w:spacing w:before="0" w:beforeAutospacing="0" w:after="0" w:afterAutospacing="0"/>
        <w:rPr>
          <w:rStyle w:val="8"/>
          <w:rFonts w:hint="eastAsia" w:ascii="仿宋_GB2312" w:hAnsi="仿宋_GB2312" w:eastAsia="仿宋_GB2312" w:cs="仿宋_GB2312"/>
          <w:color w:val="000000"/>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40" w:lineRule="exact"/>
        <w:textAlignment w:val="auto"/>
        <w:rPr>
          <w:rFonts w:hint="eastAsia" w:ascii="仿宋_GB2312" w:hAnsi="仿宋_GB2312" w:eastAsia="仿宋_GB2312" w:cs="仿宋_GB2312"/>
          <w:color w:val="000000"/>
          <w:sz w:val="32"/>
          <w:szCs w:val="32"/>
        </w:rPr>
      </w:pPr>
      <w:r>
        <w:rPr>
          <w:rStyle w:val="8"/>
          <w:rFonts w:hint="eastAsia" w:ascii="仿宋_GB2312" w:hAnsi="仿宋_GB2312" w:eastAsia="仿宋_GB2312" w:cs="仿宋_GB2312"/>
          <w:color w:val="000000"/>
          <w:sz w:val="32"/>
          <w:szCs w:val="32"/>
        </w:rPr>
        <w:t>　　</w:t>
      </w:r>
      <w:r>
        <w:rPr>
          <w:rStyle w:val="8"/>
          <w:rFonts w:hint="eastAsia" w:ascii="黑体" w:hAnsi="黑体" w:eastAsia="黑体" w:cs="黑体"/>
          <w:b w:val="0"/>
          <w:bCs w:val="0"/>
          <w:color w:val="000000"/>
          <w:sz w:val="32"/>
          <w:szCs w:val="32"/>
          <w:lang w:val="en-US" w:eastAsia="zh-CN"/>
        </w:rPr>
        <w:t>三</w:t>
      </w:r>
      <w:r>
        <w:rPr>
          <w:rStyle w:val="8"/>
          <w:rFonts w:hint="eastAsia" w:ascii="黑体" w:hAnsi="黑体" w:eastAsia="黑体" w:cs="黑体"/>
          <w:b w:val="0"/>
          <w:bCs w:val="0"/>
          <w:color w:val="000000"/>
          <w:sz w:val="32"/>
          <w:szCs w:val="32"/>
        </w:rPr>
        <w:t>、供应商资格条件和要求</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1.具有独立承担民事责任能力的在中华人民共和国境内注册的法人或其他组织营业执照（或登记证书），提供证书副本复印件；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未被列入信用中国网站“记录失信被执行人或重大税收违法失信主体或政府采购严重违法失信行为记录名单”；不处于中国政府采购网“政府采购严重违法失信行为信息记录”中的禁止参加政府采购活动期间，以询价公告日后在信用中国网站和中国政府采购网查询结果截图资料为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3.本项目不接受联合体投标；</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4.供应商应至少具备三项以下相关资质：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CCRC信息安全服务资质认证证书、</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ITSS信息技术服务运行维护标准符合性证书、</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ISO27001信息安全管理体系认证证书、</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ISO20000技术信息服务管理体系认证证书、</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ISO9001质量管理体系认证证书、</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ISO22301业务连续性管理体系认证、</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企业信用3A等级证书、</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高新技术企业证书。</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40" w:lineRule="exact"/>
        <w:textAlignment w:val="auto"/>
        <w:rPr>
          <w:rFonts w:hint="eastAsia" w:ascii="仿宋_GB2312" w:hAnsi="仿宋_GB2312" w:eastAsia="仿宋_GB2312" w:cs="仿宋_GB2312"/>
          <w:color w:val="000000"/>
          <w:sz w:val="32"/>
          <w:szCs w:val="32"/>
        </w:rPr>
      </w:pPr>
      <w:r>
        <w:rPr>
          <w:rStyle w:val="8"/>
          <w:rFonts w:hint="eastAsia" w:ascii="仿宋_GB2312" w:hAnsi="仿宋_GB2312" w:eastAsia="仿宋_GB2312" w:cs="仿宋_GB2312"/>
          <w:color w:val="000000"/>
          <w:sz w:val="32"/>
          <w:szCs w:val="32"/>
        </w:rPr>
        <w:t>　　</w:t>
      </w:r>
      <w:r>
        <w:rPr>
          <w:rStyle w:val="8"/>
          <w:rFonts w:hint="eastAsia" w:ascii="黑体" w:hAnsi="黑体" w:eastAsia="黑体" w:cs="黑体"/>
          <w:b w:val="0"/>
          <w:bCs w:val="0"/>
          <w:color w:val="000000"/>
          <w:sz w:val="32"/>
          <w:szCs w:val="32"/>
          <w:lang w:val="en-US" w:eastAsia="zh-CN"/>
        </w:rPr>
        <w:t>四</w:t>
      </w:r>
      <w:r>
        <w:rPr>
          <w:rStyle w:val="8"/>
          <w:rFonts w:hint="eastAsia" w:ascii="黑体" w:hAnsi="黑体" w:eastAsia="黑体" w:cs="黑体"/>
          <w:b w:val="0"/>
          <w:bCs w:val="0"/>
          <w:color w:val="000000"/>
          <w:sz w:val="32"/>
          <w:szCs w:val="32"/>
        </w:rPr>
        <w:t>、报价</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4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报价不超过</w:t>
      </w:r>
      <w:r>
        <w:rPr>
          <w:rFonts w:hint="eastAsia" w:ascii="仿宋_GB2312" w:hAnsi="仿宋_GB2312" w:eastAsia="仿宋_GB2312" w:cs="仿宋_GB2312"/>
          <w:color w:val="000000"/>
          <w:sz w:val="32"/>
          <w:szCs w:val="32"/>
          <w:lang w:val="en-US" w:eastAsia="zh-CN"/>
        </w:rPr>
        <w:t>450</w:t>
      </w:r>
      <w:r>
        <w:rPr>
          <w:rFonts w:hint="eastAsia" w:ascii="仿宋_GB2312" w:hAnsi="仿宋_GB2312" w:eastAsia="仿宋_GB2312" w:cs="仿宋_GB2312"/>
          <w:color w:val="000000"/>
          <w:sz w:val="32"/>
          <w:szCs w:val="32"/>
        </w:rPr>
        <w:t>000元人民币(费用为包干价，包括但不限于</w:t>
      </w:r>
      <w:r>
        <w:rPr>
          <w:rFonts w:hint="eastAsia" w:ascii="仿宋_GB2312" w:hAnsi="仿宋_GB2312" w:eastAsia="仿宋_GB2312" w:cs="仿宋_GB2312"/>
          <w:color w:val="000000"/>
          <w:sz w:val="32"/>
          <w:szCs w:val="32"/>
          <w:lang w:val="en-US" w:eastAsia="zh-CN"/>
        </w:rPr>
        <w:t>设备费用、</w:t>
      </w:r>
      <w:r>
        <w:rPr>
          <w:rFonts w:hint="eastAsia" w:ascii="仿宋_GB2312" w:hAnsi="仿宋_GB2312" w:eastAsia="仿宋_GB2312" w:cs="仿宋_GB2312"/>
          <w:color w:val="000000"/>
          <w:sz w:val="32"/>
          <w:szCs w:val="32"/>
        </w:rPr>
        <w:t>管理费、人工费、电费、网络费、税费等)</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4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Style w:val="8"/>
          <w:rFonts w:hint="eastAsia" w:ascii="仿宋_GB2312" w:hAnsi="仿宋_GB2312" w:eastAsia="仿宋_GB2312" w:cs="仿宋_GB2312"/>
          <w:color w:val="000000"/>
          <w:sz w:val="32"/>
          <w:szCs w:val="32"/>
        </w:rPr>
        <w:t>　</w:t>
      </w:r>
      <w:r>
        <w:rPr>
          <w:rStyle w:val="8"/>
          <w:rFonts w:hint="eastAsia" w:ascii="黑体" w:hAnsi="黑体" w:eastAsia="黑体" w:cs="黑体"/>
          <w:b w:val="0"/>
          <w:bCs w:val="0"/>
          <w:color w:val="000000"/>
          <w:sz w:val="32"/>
          <w:szCs w:val="32"/>
          <w:lang w:val="en-US" w:eastAsia="zh-CN"/>
        </w:rPr>
        <w:t>五</w:t>
      </w:r>
      <w:r>
        <w:rPr>
          <w:rStyle w:val="8"/>
          <w:rFonts w:hint="eastAsia" w:ascii="黑体" w:hAnsi="黑体" w:eastAsia="黑体" w:cs="黑体"/>
          <w:b w:val="0"/>
          <w:bCs w:val="0"/>
          <w:color w:val="000000"/>
          <w:sz w:val="32"/>
          <w:szCs w:val="32"/>
        </w:rPr>
        <w:t>、响应文件</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40" w:lineRule="exac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　　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themeColor="text1"/>
          <w:kern w:val="36"/>
          <w:sz w:val="32"/>
          <w:szCs w:val="32"/>
          <w14:textFill>
            <w14:solidFill>
              <w14:schemeClr w14:val="tx1"/>
            </w14:solidFill>
          </w14:textFill>
        </w:rPr>
        <w:t>严格按照《评分标准及响应文件一览表》（详见附件）提交响应文件(包括目录、页码等)，纸质版1式2份，1份正本和1份副本，并将相关材料扫描件放入u盘。</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left="0" w:firstLine="640" w:firstLineChars="200"/>
        <w:textAlignment w:val="auto"/>
        <w:rPr>
          <w:rFonts w:hint="eastAsia" w:ascii="仿宋_GB2312" w:hAnsi="仿宋_GB2312" w:eastAsia="仿宋_GB2312" w:cs="仿宋_GB2312"/>
          <w:color w:val="000000" w:themeColor="text1"/>
          <w:kern w:val="36"/>
          <w:sz w:val="32"/>
          <w:szCs w:val="32"/>
          <w14:textFill>
            <w14:solidFill>
              <w14:schemeClr w14:val="tx1"/>
            </w14:solidFill>
          </w14:textFill>
        </w:rPr>
      </w:pPr>
      <w:r>
        <w:rPr>
          <w:rFonts w:hint="eastAsia" w:ascii="仿宋_GB2312" w:hAnsi="仿宋_GB2312" w:eastAsia="仿宋_GB2312" w:cs="仿宋_GB2312"/>
          <w:color w:val="000000" w:themeColor="text1"/>
          <w:kern w:val="36"/>
          <w:sz w:val="32"/>
          <w:szCs w:val="32"/>
          <w14:textFill>
            <w14:solidFill>
              <w14:schemeClr w14:val="tx1"/>
            </w14:solidFill>
          </w14:textFill>
        </w:rPr>
        <w:t>2</w:t>
      </w:r>
      <w:r>
        <w:rPr>
          <w:rFonts w:hint="eastAsia" w:ascii="仿宋_GB2312" w:hAnsi="仿宋_GB2312" w:eastAsia="仿宋_GB2312" w:cs="仿宋_GB2312"/>
          <w:color w:val="000000" w:themeColor="text1"/>
          <w:kern w:val="36"/>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36"/>
          <w:sz w:val="32"/>
          <w:szCs w:val="32"/>
          <w14:textFill>
            <w14:solidFill>
              <w14:schemeClr w14:val="tx1"/>
            </w14:solidFill>
          </w14:textFill>
        </w:rPr>
        <w:t>所有文字和图表部分均采用白色A4纸打印装订，文件均应使用不能擦去的墨水打印或书写，由报价单位法定代表人(或授权委托代理人)签字或签章并在首页及骑缝加盖报价单位公章;所有资料需密封且在密封处盖公章。</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kern w:val="36"/>
          <w:sz w:val="32"/>
          <w:szCs w:val="32"/>
          <w14:textFill>
            <w14:solidFill>
              <w14:schemeClr w14:val="tx1"/>
            </w14:solidFill>
          </w14:textFill>
        </w:rPr>
        <w:t>3</w:t>
      </w:r>
      <w:r>
        <w:rPr>
          <w:rFonts w:hint="eastAsia" w:ascii="仿宋_GB2312" w:hAnsi="仿宋_GB2312" w:eastAsia="仿宋_GB2312" w:cs="仿宋_GB2312"/>
          <w:color w:val="000000" w:themeColor="text1"/>
          <w:kern w:val="36"/>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36"/>
          <w:sz w:val="32"/>
          <w:szCs w:val="32"/>
          <w14:textFill>
            <w14:solidFill>
              <w14:schemeClr w14:val="tx1"/>
            </w14:solidFill>
          </w14:textFill>
        </w:rPr>
        <w:t>请将相关材料在202</w:t>
      </w:r>
      <w:r>
        <w:rPr>
          <w:rFonts w:hint="eastAsia" w:ascii="仿宋_GB2312" w:hAnsi="仿宋_GB2312" w:eastAsia="仿宋_GB2312" w:cs="仿宋_GB2312"/>
          <w:color w:val="000000" w:themeColor="text1"/>
          <w:kern w:val="36"/>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36"/>
          <w:sz w:val="32"/>
          <w:szCs w:val="32"/>
          <w14:textFill>
            <w14:solidFill>
              <w14:schemeClr w14:val="tx1"/>
            </w14:solidFill>
          </w14:textFill>
        </w:rPr>
        <w:t>年</w:t>
      </w:r>
      <w:r>
        <w:rPr>
          <w:rFonts w:hint="eastAsia" w:ascii="仿宋_GB2312" w:hAnsi="仿宋_GB2312" w:eastAsia="仿宋_GB2312" w:cs="仿宋_GB2312"/>
          <w:color w:val="000000" w:themeColor="text1"/>
          <w:kern w:val="36"/>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kern w:val="36"/>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kern w:val="36"/>
          <w:sz w:val="32"/>
          <w:szCs w:val="32"/>
          <w:highlight w:val="none"/>
          <w:lang w:val="en-US" w:eastAsia="zh-CN"/>
          <w14:textFill>
            <w14:solidFill>
              <w14:schemeClr w14:val="tx1"/>
            </w14:solidFill>
          </w14:textFill>
        </w:rPr>
        <w:t>28</w:t>
      </w:r>
      <w:r>
        <w:rPr>
          <w:rFonts w:hint="eastAsia" w:ascii="仿宋_GB2312" w:hAnsi="仿宋_GB2312" w:eastAsia="仿宋_GB2312" w:cs="仿宋_GB2312"/>
          <w:color w:val="000000" w:themeColor="text1"/>
          <w:kern w:val="36"/>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kern w:val="36"/>
          <w:sz w:val="32"/>
          <w:szCs w:val="32"/>
          <w:highlight w:val="none"/>
          <w:lang w:val="en-US" w:eastAsia="zh-CN"/>
          <w14:textFill>
            <w14:solidFill>
              <w14:schemeClr w14:val="tx1"/>
            </w14:solidFill>
          </w14:textFill>
        </w:rPr>
        <w:t>18</w:t>
      </w:r>
      <w:bookmarkStart w:id="0" w:name="_GoBack"/>
      <w:bookmarkEnd w:id="0"/>
      <w:r>
        <w:rPr>
          <w:rFonts w:hint="eastAsia" w:ascii="仿宋_GB2312" w:hAnsi="仿宋_GB2312" w:eastAsia="仿宋_GB2312" w:cs="仿宋_GB2312"/>
          <w:color w:val="000000" w:themeColor="text1"/>
          <w:kern w:val="36"/>
          <w:sz w:val="32"/>
          <w:szCs w:val="32"/>
          <w:highlight w:val="none"/>
          <w14:textFill>
            <w14:solidFill>
              <w14:schemeClr w14:val="tx1"/>
            </w14:solidFill>
          </w14:textFill>
        </w:rPr>
        <w:t>时</w:t>
      </w:r>
      <w:r>
        <w:rPr>
          <w:rFonts w:hint="eastAsia" w:ascii="仿宋_GB2312" w:hAnsi="仿宋_GB2312" w:eastAsia="仿宋_GB2312" w:cs="仿宋_GB2312"/>
          <w:color w:val="000000" w:themeColor="text1"/>
          <w:kern w:val="36"/>
          <w:sz w:val="32"/>
          <w:szCs w:val="32"/>
          <w14:textFill>
            <w14:solidFill>
              <w14:schemeClr w14:val="tx1"/>
            </w14:solidFill>
          </w14:textFill>
        </w:rPr>
        <w:t>之前快递至广州市越秀区广州大道中307号富力新天地中心C座50楼，联系人：钟小姐，联系电话：</w:t>
      </w:r>
      <w:r>
        <w:rPr>
          <w:rFonts w:hint="eastAsia" w:ascii="仿宋_GB2312" w:hAnsi="仿宋_GB2312" w:eastAsia="仿宋_GB2312" w:cs="仿宋_GB2312"/>
          <w:color w:val="000000" w:themeColor="text1"/>
          <w:kern w:val="36"/>
          <w:sz w:val="32"/>
          <w:szCs w:val="32"/>
          <w:lang w:val="en-US" w:eastAsia="zh-CN"/>
          <w14:textFill>
            <w14:solidFill>
              <w14:schemeClr w14:val="tx1"/>
            </w14:solidFill>
          </w14:textFill>
        </w:rPr>
        <w:t>18079779936</w:t>
      </w:r>
      <w:r>
        <w:rPr>
          <w:rFonts w:hint="eastAsia" w:ascii="仿宋_GB2312" w:hAnsi="仿宋_GB2312" w:eastAsia="仿宋_GB2312" w:cs="仿宋_GB2312"/>
          <w:color w:val="000000" w:themeColor="text1"/>
          <w:kern w:val="36"/>
          <w:sz w:val="32"/>
          <w:szCs w:val="32"/>
          <w14:textFill>
            <w14:solidFill>
              <w14:schemeClr w14:val="tx1"/>
            </w14:solidFill>
          </w14:textFill>
        </w:rPr>
        <w:t>。</w:t>
      </w:r>
    </w:p>
    <w:sectPr>
      <w:pgSz w:w="11906" w:h="16838"/>
      <w:pgMar w:top="1440" w:right="1800"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5M2Q4ODJhMjcyNzA4NTAwM2U1MjVhMWRkZWYzNGYifQ=="/>
  </w:docVars>
  <w:rsids>
    <w:rsidRoot w:val="00574D1B"/>
    <w:rsid w:val="001F1798"/>
    <w:rsid w:val="002F2215"/>
    <w:rsid w:val="00310DB4"/>
    <w:rsid w:val="003645E2"/>
    <w:rsid w:val="00510E9F"/>
    <w:rsid w:val="00572708"/>
    <w:rsid w:val="00574D1B"/>
    <w:rsid w:val="005926AD"/>
    <w:rsid w:val="00775FE5"/>
    <w:rsid w:val="00856A1C"/>
    <w:rsid w:val="00876A39"/>
    <w:rsid w:val="009271DD"/>
    <w:rsid w:val="00BD57B8"/>
    <w:rsid w:val="00D10BF5"/>
    <w:rsid w:val="00E449D0"/>
    <w:rsid w:val="0D8544BC"/>
    <w:rsid w:val="0E7E6F6F"/>
    <w:rsid w:val="0EBB2F62"/>
    <w:rsid w:val="0EF37117"/>
    <w:rsid w:val="10640272"/>
    <w:rsid w:val="11E710E0"/>
    <w:rsid w:val="1213101F"/>
    <w:rsid w:val="130F038F"/>
    <w:rsid w:val="140B537C"/>
    <w:rsid w:val="1B946DFC"/>
    <w:rsid w:val="205F59D0"/>
    <w:rsid w:val="222114E5"/>
    <w:rsid w:val="26A768F9"/>
    <w:rsid w:val="271468C5"/>
    <w:rsid w:val="27B96836"/>
    <w:rsid w:val="27CC0C59"/>
    <w:rsid w:val="330368BD"/>
    <w:rsid w:val="337218E7"/>
    <w:rsid w:val="35DE2E5C"/>
    <w:rsid w:val="35EC16BD"/>
    <w:rsid w:val="360F2AC9"/>
    <w:rsid w:val="3B156751"/>
    <w:rsid w:val="3D187C92"/>
    <w:rsid w:val="4320516C"/>
    <w:rsid w:val="45F55C23"/>
    <w:rsid w:val="476D1EFD"/>
    <w:rsid w:val="48893936"/>
    <w:rsid w:val="49B9337F"/>
    <w:rsid w:val="49C95347"/>
    <w:rsid w:val="4A1A065C"/>
    <w:rsid w:val="4B3551B7"/>
    <w:rsid w:val="4C762ABB"/>
    <w:rsid w:val="4DF07279"/>
    <w:rsid w:val="5D883B4F"/>
    <w:rsid w:val="600F009C"/>
    <w:rsid w:val="6036393C"/>
    <w:rsid w:val="61A77A2E"/>
    <w:rsid w:val="621C5B6D"/>
    <w:rsid w:val="64105038"/>
    <w:rsid w:val="66E1692D"/>
    <w:rsid w:val="681F3A63"/>
    <w:rsid w:val="68CC66C0"/>
    <w:rsid w:val="6C816A09"/>
    <w:rsid w:val="6D581273"/>
    <w:rsid w:val="70E777FF"/>
    <w:rsid w:val="70FD28CD"/>
    <w:rsid w:val="723249AC"/>
    <w:rsid w:val="72621DA4"/>
    <w:rsid w:val="73B85BA3"/>
    <w:rsid w:val="7A9D283A"/>
    <w:rsid w:val="7BFC23F6"/>
    <w:rsid w:val="7EE33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unhideWhenUsed/>
    <w:qFormat/>
    <w:uiPriority w:val="99"/>
    <w:rPr>
      <w:color w:val="467886" w:themeColor="hyperlink"/>
      <w:u w:val="single"/>
      <w14:textFill>
        <w14:solidFill>
          <w14:schemeClr w14:val="hlink"/>
        </w14:solidFill>
      </w14:textFill>
    </w:rPr>
  </w:style>
  <w:style w:type="character" w:customStyle="1" w:styleId="10">
    <w:name w:val="页眉 字符"/>
    <w:basedOn w:val="7"/>
    <w:link w:val="3"/>
    <w:qFormat/>
    <w:uiPriority w:val="99"/>
    <w:rPr>
      <w:sz w:val="18"/>
      <w:szCs w:val="18"/>
    </w:rPr>
  </w:style>
  <w:style w:type="character" w:customStyle="1" w:styleId="11">
    <w:name w:val="页脚 字符"/>
    <w:basedOn w:val="7"/>
    <w:link w:val="2"/>
    <w:qFormat/>
    <w:uiPriority w:val="99"/>
    <w:rPr>
      <w:sz w:val="18"/>
      <w:szCs w:val="18"/>
    </w:rPr>
  </w:style>
  <w:style w:type="character" w:customStyle="1" w:styleId="12">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2269</Words>
  <Characters>2346</Characters>
  <Lines>6</Lines>
  <Paragraphs>1</Paragraphs>
  <TotalTime>0</TotalTime>
  <ScaleCrop>false</ScaleCrop>
  <LinksUpToDate>false</LinksUpToDate>
  <CharactersWithSpaces>2360</CharactersWithSpaces>
  <Application>WPS Office_11.8.2.9068_F1E327BC-269C-435d-A152-05C5408002CA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2024-07-26T02:11:00Z</dcterms:created>
  <dc:creator>志磊 沈</dc:creator>
  <cp:lastModifiedBy>Kai</cp:lastModifiedBy>
  <dcterms:modified xsi:type="dcterms:W3CDTF">2025-07-22T01:47:31Z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y fmtid="{D5CDD505-2E9C-101B-9397-08002B2CF9AE}" pid="3" name="ICV">
    <vt:lpwstr>B1AB36A15C0547BCB827383FB4F0C449_12</vt:lpwstr>
  </property>
</Properties>
</file>